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December 15, 2020</w:t>
      </w:r>
    </w:p>
    <w:p>
      <w:pPr>
        <w:spacing w:after="0" w:line="4" w:lineRule="exact"/>
        <w:rPr>
          <w:sz w:val="24"/>
          <w:szCs w:val="24"/>
          <w:color w:val="auto"/>
        </w:rPr>
      </w:pPr>
    </w:p>
    <w:p>
      <w:pPr>
        <w:ind w:left="90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F-3</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iQIYI, Inc.</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7"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Arial" w:cs="Arial" w:eastAsia="Arial" w:hAnsi="Arial"/>
                <w:sz w:val="16"/>
                <w:szCs w:val="16"/>
                <w:b w:val="1"/>
                <w:bCs w:val="1"/>
                <w:color w:val="auto"/>
                <w:w w:val="91"/>
              </w:rPr>
              <w:t>Cayman Islands</w:t>
            </w:r>
          </w:p>
        </w:tc>
        <w:tc>
          <w:tcPr>
            <w:tcW w:w="3380" w:type="dxa"/>
            <w:vAlign w:val="bottom"/>
          </w:tcPr>
          <w:p>
            <w:pPr>
              <w:jc w:val="center"/>
              <w:ind w:left="1865"/>
              <w:spacing w:after="0"/>
              <w:rPr>
                <w:sz w:val="20"/>
                <w:szCs w:val="20"/>
                <w:color w:val="auto"/>
              </w:rPr>
            </w:pPr>
            <w:r>
              <w:rPr>
                <w:rFonts w:ascii="Arial" w:cs="Arial" w:eastAsia="Arial" w:hAnsi="Arial"/>
                <w:sz w:val="16"/>
                <w:szCs w:val="16"/>
                <w:b w:val="1"/>
                <w:bCs w:val="1"/>
                <w:color w:val="auto"/>
                <w:w w:val="92"/>
              </w:rPr>
              <w:t>Not Applicable</w:t>
            </w:r>
          </w:p>
        </w:tc>
      </w:tr>
      <w:tr>
        <w:trPr>
          <w:trHeight w:val="148"/>
        </w:trPr>
        <w:tc>
          <w:tcPr>
            <w:tcW w:w="3840" w:type="dxa"/>
            <w:vAlign w:val="bottom"/>
          </w:tcPr>
          <w:p>
            <w:pPr>
              <w:jc w:val="center"/>
              <w:ind w:right="1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5"/>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9/F, iQIYI Innovation Building</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 2 Haidian North First Street, Haidian District</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Beijing 100080, People’s Republic of China</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Cogency Global Inc.</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122 East 42nd Street, 18th Floor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New York, NY 10168</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+1 800-221-0102</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tbl>
      <w:tblPr>
        <w:tblLayout w:type="fixed"/>
        <w:tblInd w:w="480" w:type="dxa"/>
        <w:tblCellMar>
          <w:top w:w="0" w:type="dxa"/>
          <w:left w:w="0" w:type="dxa"/>
          <w:bottom w:w="0" w:type="dxa"/>
          <w:right w:w="0" w:type="dxa"/>
        </w:tblCellMar>
      </w:tblPr>
      <w:tr>
        <w:trPr>
          <w:trHeight w:val="182"/>
        </w:trPr>
        <w:tc>
          <w:tcPr>
            <w:tcW w:w="3460" w:type="dxa"/>
            <w:vAlign w:val="bottom"/>
          </w:tcPr>
          <w:p>
            <w:pPr>
              <w:spacing w:after="0"/>
              <w:rPr>
                <w:sz w:val="15"/>
                <w:szCs w:val="15"/>
                <w:color w:val="auto"/>
              </w:rPr>
            </w:pPr>
          </w:p>
        </w:tc>
        <w:tc>
          <w:tcPr>
            <w:tcW w:w="3560" w:type="dxa"/>
            <w:vAlign w:val="bottom"/>
          </w:tcPr>
          <w:p>
            <w:pPr>
              <w:ind w:left="1380"/>
              <w:spacing w:after="0"/>
              <w:rPr>
                <w:sz w:val="20"/>
                <w:szCs w:val="20"/>
                <w:color w:val="auto"/>
              </w:rPr>
            </w:pPr>
            <w:r>
              <w:rPr>
                <w:rFonts w:ascii="Arial" w:cs="Arial" w:eastAsia="Arial" w:hAnsi="Arial"/>
                <w:sz w:val="14"/>
                <w:szCs w:val="14"/>
                <w:b w:val="1"/>
                <w:bCs w:val="1"/>
                <w:i w:val="1"/>
                <w:iCs w:val="1"/>
                <w:color w:val="auto"/>
              </w:rPr>
              <w:t>Copies to:</w:t>
            </w:r>
          </w:p>
        </w:tc>
        <w:tc>
          <w:tcPr>
            <w:tcW w:w="3260" w:type="dxa"/>
            <w:vAlign w:val="bottom"/>
          </w:tcPr>
          <w:p>
            <w:pPr>
              <w:spacing w:after="0"/>
              <w:rPr>
                <w:sz w:val="15"/>
                <w:szCs w:val="15"/>
                <w:color w:val="auto"/>
              </w:rPr>
            </w:pPr>
          </w:p>
        </w:tc>
      </w:tr>
      <w:tr>
        <w:trPr>
          <w:trHeight w:val="178"/>
        </w:trPr>
        <w:tc>
          <w:tcPr>
            <w:tcW w:w="3460" w:type="dxa"/>
            <w:vAlign w:val="bottom"/>
          </w:tcPr>
          <w:p>
            <w:pPr>
              <w:jc w:val="center"/>
              <w:ind w:right="348"/>
              <w:spacing w:after="0"/>
              <w:rPr>
                <w:sz w:val="20"/>
                <w:szCs w:val="20"/>
                <w:color w:val="auto"/>
              </w:rPr>
            </w:pPr>
            <w:r>
              <w:rPr>
                <w:rFonts w:ascii="Arial" w:cs="Arial" w:eastAsia="Arial" w:hAnsi="Arial"/>
                <w:sz w:val="14"/>
                <w:szCs w:val="14"/>
                <w:b w:val="1"/>
                <w:bCs w:val="1"/>
                <w:color w:val="auto"/>
                <w:w w:val="94"/>
              </w:rPr>
              <w:t>Xiaodong Wang, Chief Financial Officer</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4"/>
              </w:rPr>
              <w:t>Z. Julie Gao, Esq.</w:t>
            </w:r>
          </w:p>
        </w:tc>
        <w:tc>
          <w:tcPr>
            <w:tcW w:w="326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Haiping Li, Esq.</w:t>
            </w:r>
          </w:p>
        </w:tc>
      </w:tr>
      <w:tr>
        <w:trPr>
          <w:trHeight w:val="149"/>
        </w:trPr>
        <w:tc>
          <w:tcPr>
            <w:tcW w:w="346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E-mail: wangxiaodong@qiyi.com</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Jonathan B. Stone, Esq.</w:t>
            </w:r>
          </w:p>
        </w:tc>
        <w:tc>
          <w:tcPr>
            <w:tcW w:w="32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5"/>
              </w:rPr>
              <w:t>Skadden, Arps, Slate, Meagher &amp; Flom LLP</w:t>
            </w:r>
          </w:p>
        </w:tc>
      </w:tr>
      <w:tr>
        <w:trPr>
          <w:trHeight w:val="148"/>
        </w:trPr>
        <w:tc>
          <w:tcPr>
            <w:tcW w:w="346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7"/>
              </w:rPr>
              <w:t>9/F, iQIYI Innovation Building</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Skadden, Arps, Slate, Meagher &amp; Flom LLP</w:t>
            </w:r>
          </w:p>
        </w:tc>
        <w:tc>
          <w:tcPr>
            <w:tcW w:w="32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5"/>
              </w:rPr>
              <w:t>c/o Jing An Kerry Centre, Tower II 46th Floor</w:t>
            </w:r>
          </w:p>
        </w:tc>
      </w:tr>
      <w:tr>
        <w:trPr>
          <w:trHeight w:val="148"/>
        </w:trPr>
        <w:tc>
          <w:tcPr>
            <w:tcW w:w="346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6"/>
              </w:rPr>
              <w:t>No. 2 Haidian North First Street, Haidian District</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 42/F, Edinburgh Tower, The Landmark</w:t>
            </w:r>
          </w:p>
        </w:tc>
        <w:tc>
          <w:tcPr>
            <w:tcW w:w="32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3"/>
              </w:rPr>
              <w:t>1539 Nanjing West Road</w:t>
            </w:r>
          </w:p>
        </w:tc>
      </w:tr>
      <w:tr>
        <w:trPr>
          <w:trHeight w:val="149"/>
        </w:trPr>
        <w:tc>
          <w:tcPr>
            <w:tcW w:w="346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2"/>
              </w:rPr>
              <w:t>Beijing 100080, People’s Republic of China</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15 Queen’s Road Central, Hong Kong</w:t>
            </w:r>
          </w:p>
        </w:tc>
        <w:tc>
          <w:tcPr>
            <w:tcW w:w="32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Shanghai 200040, China</w:t>
            </w:r>
          </w:p>
        </w:tc>
      </w:tr>
      <w:tr>
        <w:trPr>
          <w:trHeight w:val="186"/>
        </w:trPr>
        <w:tc>
          <w:tcPr>
            <w:tcW w:w="3460" w:type="dxa"/>
            <w:vAlign w:val="bottom"/>
          </w:tcPr>
          <w:p>
            <w:pPr>
              <w:jc w:val="center"/>
              <w:ind w:right="348"/>
              <w:spacing w:after="0"/>
              <w:rPr>
                <w:sz w:val="20"/>
                <w:szCs w:val="20"/>
                <w:color w:val="auto"/>
              </w:rPr>
            </w:pPr>
            <w:r>
              <w:rPr>
                <w:rFonts w:ascii="Arial" w:cs="Arial" w:eastAsia="Arial" w:hAnsi="Arial"/>
                <w:sz w:val="14"/>
                <w:szCs w:val="14"/>
                <w:b w:val="1"/>
                <w:bCs w:val="1"/>
                <w:color w:val="auto"/>
                <w:w w:val="94"/>
              </w:rPr>
              <w:t>+86 10-6267-7171</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+852 3740-4700</w:t>
            </w:r>
          </w:p>
        </w:tc>
        <w:tc>
          <w:tcPr>
            <w:tcW w:w="326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+86 21-6193-8200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ind w:left="120" w:right="1280" w:firstLine="1281"/>
        <w:spacing w:after="0" w:line="209"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from time to time after the effective date of this registration statement </w:t>
      </w: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5"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Securities and Exchange Commission pursuant to Rule 462(e)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0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8" w:lineRule="exact"/>
        <w:rPr>
          <w:sz w:val="24"/>
          <w:szCs w:val="24"/>
          <w:color w:val="auto"/>
        </w:rPr>
      </w:pPr>
    </w:p>
    <w:p>
      <w:pPr>
        <w:ind w:left="93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94"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80"/>
        <w:spacing w:after="0" w:line="253" w:lineRule="auto"/>
        <w:rPr>
          <w:sz w:val="20"/>
          <w:szCs w:val="20"/>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3"/>
              </w:rPr>
              <w:t>Amount to be</w:t>
            </w:r>
          </w:p>
        </w:tc>
        <w:tc>
          <w:tcPr>
            <w:tcW w:w="18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 maximum</w:t>
            </w:r>
          </w:p>
        </w:tc>
        <w:tc>
          <w:tcPr>
            <w:tcW w:w="17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vMerge w:val="restart"/>
          </w:tcPr>
          <w:p>
            <w:pPr>
              <w:ind w:left="720"/>
              <w:spacing w:after="0"/>
              <w:rPr>
                <w:sz w:val="20"/>
                <w:szCs w:val="20"/>
                <w:color w:val="auto"/>
              </w:rPr>
            </w:pPr>
            <w:r>
              <w:rPr>
                <w:rFonts w:ascii="Arial" w:cs="Arial" w:eastAsia="Arial" w:hAnsi="Arial"/>
                <w:sz w:val="14"/>
                <w:szCs w:val="14"/>
                <w:b w:val="1"/>
                <w:bCs w:val="1"/>
                <w:color w:val="auto"/>
              </w:rPr>
              <w:t>Title of each class of securities to be registered</w:t>
            </w:r>
            <w:r>
              <w:rPr>
                <w:rFonts w:ascii="Arial" w:cs="Arial" w:eastAsia="Arial" w:hAnsi="Arial"/>
                <w:sz w:val="12"/>
                <w:szCs w:val="12"/>
                <w:b w:val="1"/>
                <w:bCs w:val="1"/>
                <w:color w:val="auto"/>
              </w:rPr>
              <w:t>(1)</w:t>
            </w:r>
          </w:p>
        </w:tc>
        <w:tc>
          <w:tcPr>
            <w:tcW w:w="132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aggregate price per</w:t>
            </w:r>
          </w:p>
        </w:tc>
        <w:tc>
          <w:tcPr>
            <w:tcW w:w="17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(2)</w:t>
            </w:r>
          </w:p>
        </w:tc>
        <w:tc>
          <w:tcPr>
            <w:tcW w:w="18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unit</w:t>
            </w:r>
            <w:r>
              <w:rPr>
                <w:rFonts w:ascii="Arial" w:cs="Arial" w:eastAsia="Arial" w:hAnsi="Arial"/>
                <w:sz w:val="12"/>
                <w:szCs w:val="12"/>
                <w:b w:val="1"/>
                <w:bCs w:val="1"/>
                <w:color w:val="auto"/>
                <w:w w:val="94"/>
              </w:rPr>
              <w:t>(2)</w:t>
            </w:r>
          </w:p>
        </w:tc>
        <w:tc>
          <w:tcPr>
            <w:tcW w:w="17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1"/>
              </w:rPr>
              <w:t>price</w:t>
            </w:r>
            <w:r>
              <w:rPr>
                <w:rFonts w:ascii="Arial" w:cs="Arial" w:eastAsia="Arial" w:hAnsi="Arial"/>
                <w:sz w:val="12"/>
                <w:szCs w:val="12"/>
                <w:b w:val="1"/>
                <w:bCs w:val="1"/>
                <w:color w:val="auto"/>
                <w:w w:val="91"/>
              </w:rPr>
              <w:t>(2)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par value US$0.00001 per share</w:t>
            </w:r>
            <w:r>
              <w:rPr>
                <w:rFonts w:ascii="Arial" w:cs="Arial" w:eastAsia="Arial" w:hAnsi="Arial"/>
                <w:sz w:val="12"/>
                <w:szCs w:val="12"/>
                <w:color w:val="auto"/>
              </w:rPr>
              <w:t>(3)</w:t>
            </w:r>
          </w:p>
        </w:tc>
        <w:tc>
          <w:tcPr>
            <w:tcW w:w="1320" w:type="dxa"/>
            <w:vAlign w:val="bottom"/>
            <w:tcBorders>
              <w:bottom w:val="single" w:sz="8" w:color="auto"/>
              <w:right w:val="single" w:sz="8" w:color="auto"/>
            </w:tcBorders>
          </w:tcPr>
          <w:p>
            <w:pPr>
              <w:ind w:left="600"/>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ind w:left="860"/>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ind w:left="7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w:t>
            </w:r>
          </w:p>
        </w:tc>
        <w:tc>
          <w:tcPr>
            <w:tcW w:w="1320" w:type="dxa"/>
            <w:vAlign w:val="bottom"/>
            <w:tcBorders>
              <w:bottom w:val="single" w:sz="8" w:color="auto"/>
              <w:right w:val="single" w:sz="8" w:color="auto"/>
            </w:tcBorders>
          </w:tcPr>
          <w:p>
            <w:pPr>
              <w:ind w:left="600"/>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ind w:left="860"/>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ind w:left="7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24"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These securities are not being registered for the purposes of sales outside of the United States.</w:t>
      </w:r>
    </w:p>
    <w:p>
      <w:pPr>
        <w:spacing w:after="0" w:line="1" w:lineRule="exact"/>
        <w:rPr>
          <w:rFonts w:ascii="Arial" w:cs="Arial" w:eastAsia="Arial" w:hAnsi="Arial"/>
          <w:sz w:val="14"/>
          <w:szCs w:val="14"/>
          <w:color w:val="auto"/>
        </w:rPr>
      </w:pPr>
    </w:p>
    <w:p>
      <w:pPr>
        <w:ind w:left="540" w:right="58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number of securities is being registered as may from time to time be sold at indeterminate prices. In accordance with Rules 456(b) and 457(r), the Registrant is deferring payment of all of the registration fee.</w:t>
      </w:r>
    </w:p>
    <w:p>
      <w:pPr>
        <w:ind w:left="540" w:right="700" w:hanging="424"/>
        <w:spacing w:after="0" w:line="237"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the Class A ordinary shares registered hereby have been registered under a separate registration statement on Form F-6 (Registration No. 333-223709). Each American depositary share represents seven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08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iQIYI, Inc.</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Class A Ordinary Shares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from time to time in one or more offerings offer and sell our debt securities or Class A ordinary shares, including Class A ordinary shares represented by American depositary shares, or ADSs.</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addition, from time to time, selling shareholders named in a prospectus supplement may offer and sell our Class A ordinary shares held by them. We will not receive any proceeds from the sale of our Class A ordinary shares by selling shareholders.</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beginning on page 57 of this prospectus.</w:t>
      </w:r>
    </w:p>
    <w:p>
      <w:pPr>
        <w:spacing w:after="0" w:line="17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ADSs are listed on the Nasdaq Global Select Market under the symbol “IQ.” On December 14, 2020, the last reported sale price of the ADSs on the Nasdaq Global Select Market was US$22.60 per ADS.</w:t>
      </w:r>
    </w:p>
    <w:p>
      <w:pPr>
        <w:spacing w:after="0" w:line="166" w:lineRule="exact"/>
        <w:rPr>
          <w:sz w:val="20"/>
          <w:szCs w:val="20"/>
          <w:color w:val="auto"/>
        </w:rPr>
      </w:pPr>
    </w:p>
    <w:p>
      <w:pPr>
        <w:jc w:val="both"/>
        <w:ind w:left="120" w:right="40" w:firstLine="4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carefully consider the risks described under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starting on page 4 of this prospectus, included in any prospectus supplement or in the documents incorporated by reference into this prospectus before you invest in our securities.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may not be used to offer or sell any securities unless accompanied by a prospectus supplement.</w:t>
      </w:r>
    </w:p>
    <w:p>
      <w:pPr>
        <w:spacing w:after="0" w:line="221"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December 15, 2020</w:t>
      </w:r>
    </w:p>
    <w:p>
      <w:pPr>
        <w:sectPr>
          <w:pgSz w:w="11900" w:h="16838" w:orient="portrait"/>
          <w:cols w:equalWidth="0" w:num="1">
            <w:col w:w="11060"/>
          </w:cols>
          <w:pgMar w:left="320" w:top="459"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45"/>
        </w:trPr>
        <w:tc>
          <w:tcPr>
            <w:tcW w:w="874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CORPORATE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SHARE CAPITAL</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AMERICAN DEPOSITARY SHARES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ENFORCEABILITY OF CIVIL LIABILITIES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TAXATION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SELLING SHAREHOLDERS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WHERE YOU CAN FIND MORE INFORMATION ABOUT 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74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INCORPORATION OF DOCUMENTS BY REFERENCE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We are a “well-known seasoned issuer” as defined in Rule 405 under the Securities Act of 1933, as amended, or the Securities Act. This prospectus is part of an automatic shelf registration statement that we filed with the Securities and Exchange Commission, or the SEC. By using an automatic shelf registration statement, we or any selling shareholder may, at any time and from time to time,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131" w:lineRule="exact"/>
        <w:rPr>
          <w:sz w:val="20"/>
          <w:szCs w:val="20"/>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seven Class A ordinary shares;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“Baidu” refers to Baidu, Inc., our parent company and controlling shareholder;</w:t>
      </w:r>
    </w:p>
    <w:p>
      <w:pPr>
        <w:spacing w:after="0" w:line="130" w:lineRule="exact"/>
        <w:rPr>
          <w:rFonts w:ascii="Arial" w:cs="Arial" w:eastAsia="Arial" w:hAnsi="Arial"/>
          <w:sz w:val="18"/>
          <w:szCs w:val="18"/>
          <w:color w:val="auto"/>
        </w:rPr>
      </w:pPr>
    </w:p>
    <w:p>
      <w:pPr>
        <w:ind w:left="980" w:right="340" w:hanging="432"/>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Taiwan, Hong Kong, and Macau;</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or “ordinary shares” refers to our Class A and Class B ordinary shares, par value US$0.00001 per share;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 and</w:t>
      </w:r>
    </w:p>
    <w:p>
      <w:pPr>
        <w:spacing w:after="0" w:line="130" w:lineRule="exact"/>
        <w:rPr>
          <w:rFonts w:ascii="Arial" w:cs="Arial" w:eastAsia="Arial" w:hAnsi="Arial"/>
          <w:sz w:val="18"/>
          <w:szCs w:val="18"/>
          <w:color w:val="auto"/>
        </w:rPr>
      </w:pPr>
    </w:p>
    <w:p>
      <w:pPr>
        <w:ind w:left="980" w:right="80" w:hanging="432"/>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“us,” “our company” and “our” refer to iQIYI, Inc., a Cayman Islands company, and its subsidiaries, and, in the context of describing our operations and combined and consolidated financial information, also include its consolidated affiliated entities in the PRC.</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prospectus and the documents incorporated by reference in this prospectus may contain forward-looking statements that reflect our current or then-current expectations and views of future events.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92" w:lineRule="exact"/>
        <w:rPr>
          <w:sz w:val="20"/>
          <w:szCs w:val="20"/>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increase the number of users, members and advertising customers, and expand our service offerings;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China;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forward-looking statements included in this prospectus and the documents incorporated by reference are subject to risks, uncertainties and assumptions about our company. Our actual results of operations may differ materially from the forward-looking statements as a result of the risk factors disclosed in the documents incorporated by reference in this prospectus or in any accompanying prospectus supplement.</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would like to caution you not to place undue reliance on these forward-looking statements and you should read these statements in conjunction with the risk factors disclosed in the documents incorporated by reference in this prospectus or in any accompanying prospectus supplement for a more complete discussion of the risks of an investment in our securities. The forward-looking statements included in this prospectus or incorporated by reference into this prospectus are made only as of the date of this prospectus or the date of the incorporated document, and we do not undertake any obligation to update the forward-looking statements except as required under applicable law.</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principal executive offices are located at 9/F, iQIYI Innovation Building, No. 2 Haidian North First Street, Haidian District, Beijing, 100080 People’s Republic of China. Our telephone number at this address is +86 10-6267-7171. Our registered office in the Cayman Islands is located at the offices of Intertrust Corporate Services (Cayman) Limited, 190 Elgin Avenue, George Town, Grand Cayman KY1-9005, Cayman Islands. We have appointed Cogency Global Inc., located at 122 East 42nd Street, 18th Floor, New York, NY 10168, as our agent upon whom process may be served in any action brought against us under the securities laws of the United States in connection with offerings of securities and notes registered by the registration statement of which this prospectus is a part.</w:t>
      </w:r>
    </w:p>
    <w:p>
      <w:pPr>
        <w:spacing w:after="0" w:line="192"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You can also find information on our website at </w:t>
      </w:r>
      <w:r>
        <w:rPr>
          <w:rFonts w:ascii="Arial" w:cs="Arial" w:eastAsia="Arial" w:hAnsi="Arial"/>
          <w:sz w:val="18"/>
          <w:szCs w:val="18"/>
          <w:i w:val="1"/>
          <w:iCs w:val="1"/>
          <w:color w:val="auto"/>
        </w:rPr>
        <w:t>http://ir.iqiyi.com</w:t>
      </w:r>
      <w:r>
        <w:rPr>
          <w:rFonts w:ascii="Arial" w:cs="Arial" w:eastAsia="Arial" w:hAnsi="Arial"/>
          <w:sz w:val="18"/>
          <w:szCs w:val="18"/>
          <w:color w:val="auto"/>
        </w:rPr>
        <w:t>. The information contained on our website is not a part of this prospectus.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459" w:right="5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Please see the factors set forth under “Item 3. Key Information—D. Risk Factors” in our annual report on Form 20-F for the year ended December 31, 2019, which is incorporated by reference in this prospectus, and any accompanying prospectus supplement before investing in any securities that may be offered pursuant to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please find a summary of the principal risks we face, organized under relevant headings.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Risks and uncertainties related to our business and industry include, but are not limited to, the following:</w:t>
      </w:r>
    </w:p>
    <w:p>
      <w:pPr>
        <w:spacing w:after="0" w:line="131" w:lineRule="exact"/>
        <w:rPr>
          <w:sz w:val="20"/>
          <w:szCs w:val="20"/>
          <w:color w:val="auto"/>
        </w:rPr>
      </w:pPr>
    </w:p>
    <w:p>
      <w:pPr>
        <w:ind w:left="1080" w:right="4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been and may again be subject to legal proceedings, claims and investigations in the ordinary course of business. If the outcomes of these proceedings are adverse to us, it could have a material adverse effect on our business, results of operations and financial condition;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net losses since our inception and may continue to incur losses in the future;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anticipate user preferences and provide high-quality content, especially popular original content, in a cost-effective manner, we may not be able to attract and retain users to remain competitive;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procure content from content providers upon terms acceptable to us, our business may be materially and adversely affected;</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efforts to retain members and attract new members are not successful, our business and results of operations will be materially and adversely affected;</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existing or attract new advertising customers to advertise on our platform, maintain and increase our wallet share of advertising budget or if we are unable to collect accounts receivable in a timely manner, our financial condition and results of operations may be materially and adversely affected;</w:t>
      </w:r>
    </w:p>
    <w:p>
      <w:pPr>
        <w:spacing w:after="0" w:line="89"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capital intensive industry and require a significant amount of cash to fund our operations, content acquisitions and technology investments. If we cannot obtain sufficient capital, our business, financial condition and prospects may be materially and adversely affected;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business depends on our ability to maintain and enhance our brand;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overseas operations may not be successful and may be adversely affected by legal, regulatory, political and economic risks; and</w:t>
      </w:r>
    </w:p>
    <w:p>
      <w:pPr>
        <w:spacing w:after="0" w:line="142"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the subject of detrimental conduct by third parties, including complaints to regulatory agencies and the public dissemination of malicious assessments of our business, which could have a negative impact on our reputation and cause us to lose market share, users, advertisers and revenues, and adversely affect the price of our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Relationship with Baidu</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Risks and uncertainties related to our relationship with Baidu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experience operating as a stand-alone public company;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conflicts of interest with Baidu and, because of Baidu’s controlling ownership interest in our company, we may not be able to resolve such conflicts on terms favorable to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agreements with Baidu may be less favorable to us than similar agreements negotiated with unaffiliated third parties. In particular, our master business cooperation agreement with Baidu limits the scope of business that we are allowed to conduct;</w:t>
      </w:r>
    </w:p>
    <w:p>
      <w:pPr>
        <w:spacing w:after="0" w:line="51" w:lineRule="exact"/>
        <w:rPr>
          <w:rFonts w:ascii="Arial" w:cs="Arial" w:eastAsia="Arial" w:hAnsi="Arial"/>
          <w:sz w:val="17"/>
          <w:szCs w:val="17"/>
          <w:color w:val="auto"/>
        </w:rPr>
      </w:pPr>
    </w:p>
    <w:p>
      <w:pPr>
        <w:ind w:left="1080" w:right="7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collaboration with Baidu is terminated or curtailed, or if we are no longer able to benefit from the synergies of our business cooperation with Baidu, our business may be adversely affected;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Baidu will control the outcome of shareholder actions in our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Corporate Structure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Risks and uncertainties related to our corporate structure include, but are not limited to, the following:</w:t>
      </w:r>
    </w:p>
    <w:p>
      <w:pPr>
        <w:spacing w:after="0" w:line="131" w:lineRule="exact"/>
        <w:rPr>
          <w:sz w:val="20"/>
          <w:szCs w:val="20"/>
          <w:color w:val="auto"/>
        </w:rPr>
      </w:pPr>
    </w:p>
    <w:p>
      <w:pPr>
        <w:ind w:left="1080" w:right="40" w:hanging="424"/>
        <w:spacing w:after="0" w:line="286"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PRC government finds that the agreements that establish the structure for operating certain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70"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contractual arrangements with our consolidated affiliated entities and their shareholders for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by our consolidated affiliated entities or their shareholders to perform their obligations under our contractual arrangements with them would have a material and adverse effect on our business;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shareholders of our consolidated affiliated entities may have potential conflicts of interest with us, which may materially and adversely affect our business and financial condition;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Contractual arrangements in relation to our consolidated affiliated entities may be subject to scrutiny by the PRC tax authorities and they may determine that we or our PRC consolidated affiliated entities owe additional taxes, which could negatively affect our financial condition and the value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Doing Business in the People’s Republic of China</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also subject to risks and uncertainties related to doing business in the People’s Republic of China in general, including, but are not limited to, the following:</w:t>
      </w:r>
    </w:p>
    <w:p>
      <w:pPr>
        <w:spacing w:after="0" w:line="76" w:lineRule="exact"/>
        <w:rPr>
          <w:sz w:val="20"/>
          <w:szCs w:val="20"/>
          <w:color w:val="auto"/>
        </w:rPr>
      </w:pPr>
    </w:p>
    <w:p>
      <w:pPr>
        <w:ind w:left="1080" w:right="60" w:hanging="424"/>
        <w:spacing w:after="0" w:line="25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report incorporated by reference in this prospectus is prepared by an auditor who is not inspected by the U.S. Public Company Accounting Oversight Board, and as such, our investors are deprived of the benefits of such inspection. In addition, various legislative and regulatory developments related to U.S.-listed China-based companies due to lack of PCAOB inspection and other developments due to political tensions between the United States and China may have a material adverse impact on our listing and trading in the U.S. and the trading prices of our ADSs;</w:t>
      </w:r>
    </w:p>
    <w:p>
      <w:pPr>
        <w:spacing w:after="0" w:line="93"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with respect to the PRC legal system could adversely affect us;</w:t>
      </w:r>
    </w:p>
    <w:p>
      <w:pPr>
        <w:spacing w:after="0" w:line="130"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rely on dividends and other distributions on equity paid by our PRC subsidiaries to fund any cash and financing requirements we may have, and any limitation on the ability of our PRC subsidiaries to make payments to us and any tax we are required to pay could have a material and adverse effect on our ability to conduct our business; and</w:t>
      </w:r>
    </w:p>
    <w:p>
      <w:pPr>
        <w:spacing w:after="0" w:line="89" w:lineRule="exact"/>
        <w:rPr>
          <w:rFonts w:ascii="Arial" w:cs="Arial" w:eastAsia="Arial" w:hAnsi="Arial"/>
          <w:sz w:val="18"/>
          <w:szCs w:val="18"/>
          <w:color w:val="auto"/>
        </w:rPr>
      </w:pPr>
    </w:p>
    <w:p>
      <w:pPr>
        <w:jc w:val="both"/>
        <w:ind w:left="1080" w:right="320" w:hanging="424"/>
        <w:spacing w:after="0" w:line="31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PRC regulation of loans to and direct investment in PRC entities by offshore holding companies and governmental control of currency conversion may delay or prevent us to make loans to or make additional capital contributions to our PRC subsidiaries and consolidated affiliated entities, which could materially and adversely affect our liquidity and our ability to fund and expand our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We have been and may again be subject to legal proceedings, claims and investigations in the ordinary course of business. If the outcomes of these proceedings are adverse to us, it could have a material adverse effect on our business, results of operations and financial condition.</w:t>
      </w:r>
    </w:p>
    <w:p>
      <w:pPr>
        <w:spacing w:after="0" w:line="1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various legal proceedings, claims and government investigations that have arisen in the ordinary course of business and have not yet been fully resolved. New legal proceedings, claims and investigations may arise in the future. The existence of litigation, claims, investigations and proceedings may harm our reputation, business and adversely affect the trading price of our ADSs.</w:t>
      </w:r>
    </w:p>
    <w:p>
      <w:pPr>
        <w:spacing w:after="0" w:line="18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 xml:space="preserve">Starting in April 2020, we and certain of our current and former officers and directors were named as defendants in putative securities class actions filed in federal court, captioned </w:t>
      </w:r>
      <w:r>
        <w:rPr>
          <w:rFonts w:ascii="Arial" w:cs="Arial" w:eastAsia="Arial" w:hAnsi="Arial"/>
          <w:sz w:val="16"/>
          <w:szCs w:val="16"/>
          <w:i w:val="1"/>
          <w:iCs w:val="1"/>
          <w:color w:val="auto"/>
        </w:rPr>
        <w:t>Lee v. iQIYI, Inc. et al.</w:t>
      </w:r>
      <w:r>
        <w:rPr>
          <w:rFonts w:ascii="Arial" w:cs="Arial" w:eastAsia="Arial" w:hAnsi="Arial"/>
          <w:sz w:val="16"/>
          <w:szCs w:val="16"/>
          <w:color w:val="auto"/>
        </w:rPr>
        <w:t>, No. 1: 2020-cv-0183 (U.S. District Court for the Eastern District of New York, filed April 16, 2020) (the “</w:t>
      </w:r>
      <w:r>
        <w:rPr>
          <w:rFonts w:ascii="Arial" w:cs="Arial" w:eastAsia="Arial" w:hAnsi="Arial"/>
          <w:sz w:val="16"/>
          <w:szCs w:val="16"/>
          <w:i w:val="1"/>
          <w:iCs w:val="1"/>
          <w:color w:val="auto"/>
        </w:rPr>
        <w:t>Lee</w:t>
      </w:r>
      <w:r>
        <w:rPr>
          <w:rFonts w:ascii="Arial" w:cs="Arial" w:eastAsia="Arial" w:hAnsi="Arial"/>
          <w:sz w:val="16"/>
          <w:szCs w:val="16"/>
          <w:color w:val="auto"/>
        </w:rPr>
        <w:t xml:space="preserve"> Case”); </w:t>
      </w:r>
      <w:r>
        <w:rPr>
          <w:rFonts w:ascii="Arial" w:cs="Arial" w:eastAsia="Arial" w:hAnsi="Arial"/>
          <w:sz w:val="16"/>
          <w:szCs w:val="16"/>
          <w:i w:val="1"/>
          <w:iCs w:val="1"/>
          <w:color w:val="auto"/>
        </w:rPr>
        <w:t>Shiferaw v. iQIYI, Inc. et al.</w:t>
      </w:r>
      <w:r>
        <w:rPr>
          <w:rFonts w:ascii="Arial" w:cs="Arial" w:eastAsia="Arial" w:hAnsi="Arial"/>
          <w:sz w:val="16"/>
          <w:szCs w:val="16"/>
          <w:color w:val="auto"/>
        </w:rPr>
        <w:t>, No. 1: 2020-cv-03115 (U.S. District Court for the Southern District of New York, filed April 17, 2020) (the “</w:t>
      </w:r>
      <w:r>
        <w:rPr>
          <w:rFonts w:ascii="Arial" w:cs="Arial" w:eastAsia="Arial" w:hAnsi="Arial"/>
          <w:sz w:val="16"/>
          <w:szCs w:val="16"/>
          <w:i w:val="1"/>
          <w:iCs w:val="1"/>
          <w:color w:val="auto"/>
        </w:rPr>
        <w:t>Shiferaw</w:t>
      </w:r>
      <w:r>
        <w:rPr>
          <w:rFonts w:ascii="Arial" w:cs="Arial" w:eastAsia="Arial" w:hAnsi="Arial"/>
          <w:sz w:val="16"/>
          <w:szCs w:val="16"/>
          <w:color w:val="auto"/>
        </w:rPr>
        <w:t xml:space="preserve"> Case”); </w:t>
      </w:r>
      <w:r>
        <w:rPr>
          <w:rFonts w:ascii="Arial" w:cs="Arial" w:eastAsia="Arial" w:hAnsi="Arial"/>
          <w:sz w:val="16"/>
          <w:szCs w:val="16"/>
          <w:i w:val="1"/>
          <w:iCs w:val="1"/>
          <w:color w:val="auto"/>
        </w:rPr>
        <w:t>Jenkins v. iQIYI, Inc. et al.</w:t>
      </w:r>
      <w:r>
        <w:rPr>
          <w:rFonts w:ascii="Arial" w:cs="Arial" w:eastAsia="Arial" w:hAnsi="Arial"/>
          <w:sz w:val="16"/>
          <w:szCs w:val="16"/>
          <w:color w:val="auto"/>
        </w:rPr>
        <w:t>, No. 4:20-cv-02882 (U.S. District Court for the Northern District of California, filed April 27, 2020) (the “</w:t>
      </w:r>
      <w:r>
        <w:rPr>
          <w:rFonts w:ascii="Arial" w:cs="Arial" w:eastAsia="Arial" w:hAnsi="Arial"/>
          <w:sz w:val="16"/>
          <w:szCs w:val="16"/>
          <w:i w:val="1"/>
          <w:iCs w:val="1"/>
          <w:color w:val="auto"/>
        </w:rPr>
        <w:t>Jenkins</w:t>
      </w:r>
      <w:r>
        <w:rPr>
          <w:rFonts w:ascii="Arial" w:cs="Arial" w:eastAsia="Arial" w:hAnsi="Arial"/>
          <w:sz w:val="16"/>
          <w:szCs w:val="16"/>
          <w:color w:val="auto"/>
        </w:rPr>
        <w:t xml:space="preserve"> Case”); and </w:t>
      </w:r>
      <w:r>
        <w:rPr>
          <w:rFonts w:ascii="Arial" w:cs="Arial" w:eastAsia="Arial" w:hAnsi="Arial"/>
          <w:sz w:val="16"/>
          <w:szCs w:val="16"/>
          <w:i w:val="1"/>
          <w:iCs w:val="1"/>
          <w:color w:val="auto"/>
        </w:rPr>
        <w:t>Le Rivage LLC v. iQIYI, Inc. et al</w:t>
      </w:r>
      <w:r>
        <w:rPr>
          <w:rFonts w:ascii="Arial" w:cs="Arial" w:eastAsia="Arial" w:hAnsi="Arial"/>
          <w:sz w:val="16"/>
          <w:szCs w:val="16"/>
          <w:color w:val="auto"/>
        </w:rPr>
        <w:t>., No. 1:20-cv-02653 (U.S. District Court for the Eastern District of New York, filed June 15, 2020) (the “</w:t>
      </w:r>
      <w:r>
        <w:rPr>
          <w:rFonts w:ascii="Arial" w:cs="Arial" w:eastAsia="Arial" w:hAnsi="Arial"/>
          <w:sz w:val="16"/>
          <w:szCs w:val="16"/>
          <w:i w:val="1"/>
          <w:iCs w:val="1"/>
          <w:color w:val="auto"/>
        </w:rPr>
        <w:t>Le Rivage</w:t>
      </w:r>
      <w:r>
        <w:rPr>
          <w:rFonts w:ascii="Arial" w:cs="Arial" w:eastAsia="Arial" w:hAnsi="Arial"/>
          <w:sz w:val="16"/>
          <w:szCs w:val="16"/>
          <w:color w:val="auto"/>
        </w:rPr>
        <w:t xml:space="preserve"> Case”). All of these cases were purportedly brought on behalf of a class of persons who allegedly suffered damages as a result of alleged misstatements and omissions in the Company’s public disclosure documents. On June 15, 2020, the </w:t>
      </w:r>
      <w:r>
        <w:rPr>
          <w:rFonts w:ascii="Arial" w:cs="Arial" w:eastAsia="Arial" w:hAnsi="Arial"/>
          <w:sz w:val="16"/>
          <w:szCs w:val="16"/>
          <w:i w:val="1"/>
          <w:iCs w:val="1"/>
          <w:color w:val="auto"/>
        </w:rPr>
        <w:t>Shiferaw</w:t>
      </w:r>
      <w:r>
        <w:rPr>
          <w:rFonts w:ascii="Arial" w:cs="Arial" w:eastAsia="Arial" w:hAnsi="Arial"/>
          <w:sz w:val="16"/>
          <w:szCs w:val="16"/>
          <w:color w:val="auto"/>
        </w:rPr>
        <w:t xml:space="preserve"> Case was voluntarily dismissed by plaintiffs. On July 6, 2020, the court granted our motion to transfer the </w:t>
      </w:r>
      <w:r>
        <w:rPr>
          <w:rFonts w:ascii="Arial" w:cs="Arial" w:eastAsia="Arial" w:hAnsi="Arial"/>
          <w:sz w:val="16"/>
          <w:szCs w:val="16"/>
          <w:i w:val="1"/>
          <w:iCs w:val="1"/>
          <w:color w:val="auto"/>
        </w:rPr>
        <w:t>Jenkins</w:t>
      </w:r>
      <w:r>
        <w:rPr>
          <w:rFonts w:ascii="Arial" w:cs="Arial" w:eastAsia="Arial" w:hAnsi="Arial"/>
          <w:sz w:val="16"/>
          <w:szCs w:val="16"/>
          <w:color w:val="auto"/>
        </w:rPr>
        <w:t xml:space="preserve"> Case to the U.S. District Court for the Eastern District of New York. The </w:t>
      </w:r>
      <w:r>
        <w:rPr>
          <w:rFonts w:ascii="Arial" w:cs="Arial" w:eastAsia="Arial" w:hAnsi="Arial"/>
          <w:sz w:val="16"/>
          <w:szCs w:val="16"/>
          <w:i w:val="1"/>
          <w:iCs w:val="1"/>
          <w:color w:val="auto"/>
        </w:rPr>
        <w:t>Lee</w:t>
      </w:r>
      <w:r>
        <w:rPr>
          <w:rFonts w:ascii="Arial" w:cs="Arial" w:eastAsia="Arial" w:hAnsi="Arial"/>
          <w:sz w:val="16"/>
          <w:szCs w:val="16"/>
          <w:color w:val="auto"/>
        </w:rPr>
        <w:t xml:space="preserve"> Case, </w:t>
      </w:r>
      <w:r>
        <w:rPr>
          <w:rFonts w:ascii="Arial" w:cs="Arial" w:eastAsia="Arial" w:hAnsi="Arial"/>
          <w:sz w:val="16"/>
          <w:szCs w:val="16"/>
          <w:i w:val="1"/>
          <w:iCs w:val="1"/>
          <w:color w:val="auto"/>
        </w:rPr>
        <w:t>Jenkins</w:t>
      </w:r>
      <w:r>
        <w:rPr>
          <w:rFonts w:ascii="Arial" w:cs="Arial" w:eastAsia="Arial" w:hAnsi="Arial"/>
          <w:sz w:val="16"/>
          <w:szCs w:val="16"/>
          <w:color w:val="auto"/>
        </w:rPr>
        <w:t xml:space="preserve"> Case, and </w:t>
      </w:r>
      <w:r>
        <w:rPr>
          <w:rFonts w:ascii="Arial" w:cs="Arial" w:eastAsia="Arial" w:hAnsi="Arial"/>
          <w:sz w:val="16"/>
          <w:szCs w:val="16"/>
          <w:i w:val="1"/>
          <w:iCs w:val="1"/>
          <w:color w:val="auto"/>
        </w:rPr>
        <w:t>Le Rivage</w:t>
      </w:r>
      <w:r>
        <w:rPr>
          <w:rFonts w:ascii="Arial" w:cs="Arial" w:eastAsia="Arial" w:hAnsi="Arial"/>
          <w:sz w:val="16"/>
          <w:szCs w:val="16"/>
          <w:color w:val="auto"/>
        </w:rPr>
        <w:t xml:space="preserve"> Case remain in their preliminary stages. Regardless of the merit of particular claims, legal proceedings and investigations may result in reputational harm, be expensive, time consuming, disruptive to our operations and distracting to management. In the event we do not prevail or we enter into settlement arrangements in any of these proceedings or investigations, we may incur significant expenses which may materially adversely affect our results of operations.</w:t>
      </w:r>
    </w:p>
    <w:p>
      <w:pPr>
        <w:spacing w:after="0" w:line="16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SEC’s Division of Enforcement is seeking the production of certain financial and operating records dating from January 1, 2018, as well as documents related to certain acquisitions and investments that were identified in the Wolfpack Report. We are cooperating with the SEC, and we cannot predict the duration, outcome, or impact of the SEC investigation.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are subject to legal proceedings in the ordinary course of business. We have been involved in litigation based on allegations of infringement of third-party copyright, including information network dissemination rights, and other rights, due to the content available on our platform. We have been subject to lawsuits in China for alleged unfair competition in connection with our platform. We may also face litigation or administrative actions for defamation, negligence, copyright and trademark infringement, or other purported injuries resulting from the content we provide or the nature of our services.</w:t>
      </w:r>
    </w:p>
    <w:p>
      <w:pPr>
        <w:spacing w:after="0" w:line="188"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We were subject to a total of 1,199 lawsuits in China for alleged copyright infringement between January 1, 2017 and December 31, 2019, in connection with our platform. Approximately 81.4% of the lawsuits filed from January 1, 2017 through December 31, 2019 in connection with the iQIYI platform were rejected by relevant PRC courts, withdrawn by the plaintiffs or settled by the parties. As of December 31, 2019, a total of 227 lawsuits against us in connection with our platform were pending, with the aggregate amount of damages sought under these pending cases being RMB247.9 million (US$35.6 million).</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outcome of legal proceedings and investigations is inherently uncertain. If one or more legal matters were resolved against us or an indemnified third party in a reporting period for amounts in excess of management’s expectations, our financial condition and operating results for that reporting period could be materially adversely affected. Further, such an outcome could result in significant compensatory, punitive or trebled monetary damages, disgorgement of revenue or profits, remedial corporate measures or injunctive relief against us that could materially adversely affect our financial condition and operating results.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We have significant working capital requirements and have historically experienced working capital deficits. If we continue to experience such working capital deficits in the future, our business, liquidity, financial condition and results of operations may be materially and adversely affected.</w:t>
      </w:r>
    </w:p>
    <w:p>
      <w:pPr>
        <w:spacing w:after="0" w:line="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a result of changes in our funding position and operating assets and liabilities, we had a working capital deficit (defined as total current assets deducted by total current liabilities) of RMB4,940.0 million (US$727.6 million) as of September 30, 2020. We have achieved a working capital surplus as of December 31, 2018 and December 31, 2019. There is no assurance that we will generate the sufficient net income or operating cash flows to meet our working capital requirements and repay our liabilities as they become due in the future due to a variety of factors. We plan to take actions in order to address our working capital deficit, including prudently manage our working capital, and raise additional equity or debt financing on terms that are acceptable to us. There can be no assurance, however, that we will be able to successfully take any of these actions in a timely manner. Our inability to take these actions as and when necessary could materially adversely affect our liquidity, results of operations, financial condition and ability to operate.</w:t>
      </w:r>
    </w:p>
    <w:p>
      <w:pPr>
        <w:spacing w:after="0" w:line="27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Increasing focus with respect to environmental, social and governance matters may impose additional costs on us or expose us to additional risks. Failure to adapt to or comply with the evolving expectations and standards on environmental, social and governance matters from investors and the PRC government may adversely affect our business, financial condition and results of operation.</w:t>
      </w:r>
    </w:p>
    <w:p>
      <w:pPr>
        <w:spacing w:after="0" w:line="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PRC government and public advocacy groups have been increasingly focused on environment, social and governance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PRC government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effected.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Any lack of requisite permits for any of our internet video and other content or any of our business may expose us to regulatory sanctions.</w:t>
      </w:r>
    </w:p>
    <w:p>
      <w:pPr>
        <w:spacing w:after="0" w:line="14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2009, the State Administration of Radio, Film and Television, or SARFT, released a Notice on Strengthening the Administration of Online Audio/Video Program Content. This notice reiterated, among other things, that all films and television shows released or published online must be in compliance with relevant regulations on the administration of radio, film and television. In other words, these films and television shows, whether produced in the PRC or overseas, must be pre-approved by SARFT, the authority of which is currently exercised by the National Radio and Television Administration, or the NRTA and the State Film Bureau, or the SFB, and distributors of these films and television shows must obtain an applicable permit before releasing them. In September 2014, the SAPPRFT, which replaced SARFT, reiterated that all the foreign TV dramas and films published to the public via internet must obtain their respective permit. In addition, all the foreign TV dramas and films published to the public via internet by competent license holders must be registered with the SAPPRFT before March 31, 2015 and all un-registered TV dramas and films will be prohibited from broadcasting via internet from April 1, 2015. In addition, online games are also subject to approval by the SAPPRFT, the authority of which is currently exercised by the State Administration of Press and Publication, or the SAPP, and approval by or filing with the Ministry of Culture. As mentioned in the news reports, between March and December 2018, such approval or filing of domestic online games were suspended, which may have been due to the institutional</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restructuring of game approval authorities involving the Ministry of Culture and Tourism and the SAPPRFT, and we can not apply for such approval or filing during this period. Such suspension caused significant delays in the introduction of new games in the Chinese market.</w:t>
      </w:r>
    </w:p>
    <w:p>
      <w:pPr>
        <w:spacing w:after="0" w:line="14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terms of licensed third-party content published or online games distributed jointly with third parties, we obtain and rely on written representations from content providers and third-party operators regarding the NRTA, SFB, SAPP and other approval and filing status of these content and online games, and, to a lesser extent, require content providers and third-party operators to produce evidence demonstrating that they and the licensed content or the online games have received all requisite permits and approvals. We also import some foreign TV dramas and films and apply for the permits for and register such contents with the competent authorities by ourselves. However, we cannot assure you that our monitoring procedures with respect to licensed content and online games are fully adequate, and we cannot guarantee that the remedies provided by these content providers, if any, will be sufficient to compensate us for potential regulatory sanctions imposed by the NRTA, SFB or SAPP due to violations of the approval and permit requirements and for the foreign TV dramas and movies imported by us, we cannot assure you that we will be able to obtain the permits for or register such contents with the competent authorities in a timely manner or at all. Nor can we ensure that any such sanctions will not adversely affect either the general availability of video, online games or other content on our platform or our reputation. In addition, such risks may persist due to ambiguities and uncertainties relating to the implementation and enforcement of this notice. Although we have internal content monitoring procedures in place to review our procured content, we face risks of termination of permits and approvals, contractual misrepresentations and failure to honor representations or indemnify us against any claims or costs by content providers.</w:t>
      </w:r>
    </w:p>
    <w:p>
      <w:pPr>
        <w:spacing w:after="0" w:line="18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have obtained the Value-added Telecommunications Business Operation License for information services via internet, or ICP License, the Permit for Internet Audio-Video Program Service, the Network Culture Business Permit, the Permit for Internet Drug Information Service, and other relevant permits required for operating our business. However, we have not obtained and are in the process of applying for or upgrading and expanding certain approvals or permits which are required or may be required for our operation of businesses. For example, we have not obtained and are planning to apply for the Permit for Internet News Information Service to publish current political news on our platform or disseminate such news through the internet. Beijing iQIYI has not obtained and is in the process of applying for the Internet Publishing Service License in relation to our online games, comics and online literature operation. We also have not obtained and are in the process of applying for adding and amending certain service items for our Permit for Internet Audio-Video Program Service, such as forwarding the audio-video programs uploaded by the users, rebroadcasting radio and TV channels, displaying current political audio-video news programs and providing video and audio live broadcasting of cultural activities, sports events and other activities organized by the general social groups. We are also planning to apply for adding online performances for the Network Culture Business of Beijing iQIYI and adding electronic data interchange as a permitted business for our Value-added Telecommunications Business Operation License. We are also filing several HTML5 online games operated by us with the Ministry of Culture. Although we are planning to apply or in the process of applying for such licenses and we maintain regular oral communication with relevant regulatory authorities, which have not objected to the operations of our business in question, if we fail to obtain, maintain or renew such licenses, or obtain any additional licenses and permits or make any records or filings required by new laws, regulations or executive orders required for our new business in a timely manner or at all, we could be subject to liabilities or penalties, and our operations could be adversely affected.</w:t>
      </w:r>
    </w:p>
    <w:p>
      <w:pPr>
        <w:spacing w:after="0" w:line="176"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In addition, new laws and regulations may be adopted from time to time to address new issues that come to the authorities’ attention, which may require us to obtain new license and permits, or take certain actions that may adversely affect our business operations. For example, we have recently voluntarily taken down certain online advertisements on our platform due to tightened regulations on online advertisements.</w:t>
      </w:r>
    </w:p>
    <w:p>
      <w:pPr>
        <w:spacing w:after="0" w:line="16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the industry that we operate in is still evolving in China, new laws and regulations may be adopted from time to time to require additional licenses and permits other than those we currently have, and to address new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issues that arise from time to time. We may not timely obtain or maintain all the required licenses or approvals or make all the necessary filings in the future. Nor can we assure you that we will be able to timely address all the change in policy, failure of which may subject us to liabilities or penalties, and our operations could be adversely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the chops of our PRC subsidiaries and our VIEs are not kept safely, are stolen or are used by unauthorized persons or for unauthorized purposes, the corporate governance of these entities could be severely and adversely compromised.</w:t>
      </w:r>
    </w:p>
    <w:p>
      <w:pPr>
        <w:spacing w:after="0" w:line="62"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VIEs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Doing Business in the People’s Republic of China</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b w:val="1"/>
          <w:bCs w:val="1"/>
          <w:i w:val="1"/>
          <w:iCs w:val="1"/>
          <w:color w:val="auto"/>
        </w:rPr>
        <w:t>The audit reports included in our annual reports on Form 20-F filed with the SEC are prepared by an auditor who is not inspected by the U.S. Public Company Accounting Oversight Board and, as such, you are deprived of the benefits of such inspection. In addition, various legislative and regulatory developments related to U.S.-listed China-based companies due to lack of PCAOB inspection and other developments may have a material adverse impact on our listing and trading in the U.S. and the trading prices of our ADSs.</w:t>
      </w:r>
    </w:p>
    <w:p>
      <w:pPr>
        <w:spacing w:after="0" w:line="6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auditor is registered with the Public Company Accounting Oversight Board (United States), or the PCAOB. Pursuant to laws in the United States, the PCAOB has authority to conduct regular inspections over independent registered public accounting firms registered with the PCAOB to assess their compliance with the applicable professional standards. Our auditor is also located in China, a jurisdiction which does not allow the PCAOB to conduct inspections without the approval of the Chinese authorities. As a result, we understand that our auditor is not currently inspected by the PCAOB.</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May 2013, the PCAOB announced that it had entered into a Memorandum of Understanding on Enforcement Cooperation with the China Securities Regulatory Commission, or CSRC, and the PRC Ministry of Finance, which established a cooperative framework between the parties for the production and exchange of audit documents relevant to investigations undertaken by the PCAOB, the CSRC or the PRC Ministry of Finance in the United States and the PRC. The PCAOB continued to discuss with the CSRC and the PRC Ministry of Finance on joint inspections in the PRC of PCAOB-registered audit firms that provide auditing services to Chinese companies that trade on U.S. stock exchanges.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December 7, 2018, the SEC and the PCAOB issued a joint statement highlighting the continued challenges faced by the U.S. regulators in their oversight of financial statement audits of U.S.-listed companies with significant operations in China. On April 21, 2020, the SEC and the PCAOB issued another joint statement reiterating the greater risks of insufficient disclosures from companies in many emerging markets, including China, compared to those from U.S. domestic companies. In discussing the specific issues related to these risks, the statement again highlighted the PCAOB’s inability to inspect audit work and practices of accounting firms in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China with respect to U.S. reporting companies. On June 4, 2020, the U.S. President issued a memorandum ordering the President’s Working Group on Financial Markets, or the PWG, to submit a report to the President within 60 days of the memorandum that includes recommendations for actions that can be taken by the executive branch and by the SEC or the PCAOB on Chinese companies listed on U.S. stock exchanges and their audit firms. On August 6, 2020, the PWG released the report. In particular, with respect to jurisdictions that do not grant the PCAOB sufficient access to fulfill its statutory mandate, or NCJs, the PWG recommended that enhanced listing standards be applied to companies from NCJs for seeking initial listing and remaining listed on U.S. stock exchanges. Under the enhanced listing standards, if the PCAOB does not have access to work papers of the principal audit firm located in a NCJ for the audit of a U.S.-listed company as a result of governmental restrictions, the U.S.-listed company may satisfy this standard by providing a co-audit from an audit firm with comparable resources and experience where the PCAOB determines that it has sufficient access to the firm’s audit work papers and practices to inspect the co-audit. The report recommended a transition period until January 1, 2022 before the new listing standards apply to companies already listed on U.S. stock exchanges. Under the PWG recommendations, if we fail to meet the enhanced listing standards before January 1, 2022, we could face de-listing from the Nasdaq Global Select Market, deregistration from the SEC and/or other risks, which may materially and adversely affect, or effectively terminate our ADS trading in the United States. There were recent media reports about the SEC’s proposed rulemaking in this regard. It is uncertain whether the PWG recommendations will be adopted, in whole or in part, and the impact of any new rule on us cannot be estimated at this time.</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lack of the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ADSs to lose confidence in our audit procedures and reported financial information and the quality of our financial statements.</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part of a continued regulatory focus in the United States on access to audit and other information currently protected by national law, in particular China’s, on May 20, 2020, the U.S. Senate passed S. 945, the Holding Foreign Companies Accountable Act, or the Act. The Act was approved by the U.S. House of Representatives on December 2, 2020. It will be presented to the president of the United States for signing into law within the same month. In essence, the Act requires the SEC to prohibit foreign companies from having its securities traded on U.S. securities exchanges or “over-the-counter” if a company retains a foreign accounting firm that cannot be inspected by the PCAOB for three consecutive years, beginning in 2021. The enactment of Act and any additional rulemaking efforts to increase U.S. regulatory access to audit information in China could cause investor uncertainty for affected SEC registrants, including us, the market price of our ADSs could be materially adversely affected, and our ADSs could be delisted if we are unable to meet the PCAOB inspection requirement in time.</w:t>
      </w:r>
    </w:p>
    <w:p>
      <w:pPr>
        <w:spacing w:after="0" w:line="286"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Uncertainties exist with respect to the enactment timetable, interpretation and implementation of draft Anti-Monopoly Guidelines for Platform Economy and draft Personal Information Protection Law and how it may impact our business operations.</w:t>
      </w:r>
    </w:p>
    <w:p>
      <w:pPr>
        <w:spacing w:after="0" w:line="3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November 2020, the State Administration for Market Regulation, or the SAMR, published for comments the draft Guidelines to Anti-Monopoly in the Field of Platform Economy, or the Draft Anti-Monopoly Guidelines for Platform Economy. The Draft Anti-Monopoly Guidelines for Platform Economy provides operational standards and guidelines to be applied in identifying certain monopolistic acts of internet platforms which are prohibited to restrict unfair competition and safeguard users’ interests, including without limitation, prohibiting personalized pricing using big data and analytics, selling products below cost without reasonable causes, actions or arrangements seen as exclusivity arrangements, using technology means to block competitors’ interface, using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bundle services to sell services or products. In addition, internet platforms’ compulsory collection of user data may be viewed as abuse of dominant market position that may have the effect to eliminate or restrict competition. The Draft Anti-Monopoly Guidelines for Platform Economy further emphasizes that concentration of undertakings with the VIE structure will also be subject to the SAMR’s anti-monopoly review if the thresholds for notification are met. The SAMR is currently soliciting comments on this draft and substantial uncertainties exist with respect to its enactment timetable, interpretation and implementation. In October 2020, the Standing Committee of the National People’s Congress officially released the draft for the first reading of the Personal Information Protection Law, or the Draft Personal Information Protection Law. The Draft Personal Information Protection Law provides the basic regime for personal information protection, including without limitation, stipulating an expanded definition of personal information, providing a long-arm jurisdiction in cross-border scenarios, emphasizing individual rights, and prohibiting rampant infringement of personal information, such as stealing, selling, or secretly collecting personal information. If the Draft Anti-Monopoly Guidelines for Platform Economy or the Draft Personal Information Protection Law is promulgated as an effective regulation in the future, we cannot assure you that our business operations will comply with such regulation in all respects and we may be ordered to terminate certain of our business operations that are deemed illegal by the regulatory authorities and become subject to fines and/or other sanctions.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may be difficult for overseas regulators to conduct investigation or collect evidence within China.</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85" w:lineRule="exact"/>
        <w:rPr>
          <w:sz w:val="20"/>
          <w:szCs w:val="20"/>
          <w:color w:val="auto"/>
        </w:rPr>
      </w:pPr>
    </w:p>
    <w:p>
      <w:pPr>
        <w:ind w:left="120" w:right="4780"/>
        <w:spacing w:after="0" w:line="453" w:lineRule="auto"/>
        <w:rPr>
          <w:sz w:val="20"/>
          <w:szCs w:val="20"/>
          <w:color w:val="auto"/>
        </w:rPr>
      </w:pPr>
      <w:r>
        <w:rPr>
          <w:rFonts w:ascii="Arial" w:cs="Arial" w:eastAsia="Arial" w:hAnsi="Arial"/>
          <w:sz w:val="15"/>
          <w:szCs w:val="15"/>
          <w:b w:val="1"/>
          <w:bCs w:val="1"/>
          <w:color w:val="auto"/>
        </w:rPr>
        <w:t xml:space="preserve">Risks Related to this Offering, our Class A ordinary shares and our ADSs </w:t>
      </w:r>
      <w:r>
        <w:rPr>
          <w:rFonts w:ascii="Arial" w:cs="Arial" w:eastAsia="Arial" w:hAnsi="Arial"/>
          <w:sz w:val="15"/>
          <w:szCs w:val="15"/>
          <w:b w:val="1"/>
          <w:bCs w:val="1"/>
          <w:i w:val="1"/>
          <w:iCs w:val="1"/>
          <w:color w:val="auto"/>
        </w:rPr>
        <w:t>Techniques employed by short sellers may drive down the market price of our ADSs.</w:t>
      </w:r>
    </w:p>
    <w:p>
      <w:pPr>
        <w:spacing w:after="0" w:line="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8"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currently, and may in the future be, the subject of unfavorable allegations made by short sellers. See “Our Company—Legal Proceedings” for more information about the Wolfpack short seller report, including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related SEC investigation and class action lawsuits. Any such allegations may be followed by periods of instability in the market price of our ordinary shares and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could be greatly reduced or rendered worthless.</w:t>
      </w:r>
    </w:p>
    <w:p>
      <w:pPr>
        <w:spacing w:after="0" w:line="300"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(iv) the selective disclosure rules by issuers of material nonpublic information under Regulation FD; and (v) certain audit committee independence requirements in Rule 10A-3 of the Exchange Act.</w:t>
      </w:r>
    </w:p>
    <w:p>
      <w:pPr>
        <w:spacing w:after="0" w:line="19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are required to file an annual report on Form 20-F within four months of the end of each fiscal year. In addition, we publish our results on a quarterly basis through press releases, distributed pursuant to the rules and regulations of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6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In addition, as a foreign private issuer whose securities are listed on the Nasdaq Global Select Market, we are permitted to follow certain home country corporate governance practices in lieu of the requirements of the Nasdaq Rules pursuant to Nasdaq Rule 5615(a)(3), which provides for such exemption to compliance with the Nasdaq Rule 5600 Series. We rely on the exemption available to foreign private issuers for the requirement under Nasdaq Rule 5605(c)(2)(A)(i) that each member of the audit committee must be an independent director as defined under Nasdaq Rule 5605(a)(2). Mr. Herman Yu, who is a member of our audit committee and is a non-voting member of our audit committee, is not an independent director as defined under Nasdaq Rule 5605(a)(2). In addition, in lieu of the requirements of Rule 5635(c) of the Nasdaq Rules that shareholder approval be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we elect to follow our home country practices with respect to the composition of our board of directors and approval for adoption and material amendment to our equity-based compensation plans. If we continue to rely on these and other exemptions available to foreign private issuers in the future, our shareholders may be afforded less protection than they otherwise would under the Nasdaq corporate governance listing standards applicable to U.S. domestic issuers. In addition, we follow home country practice with respect to annual shareholders meetings and did not hold an annual meeting of shareholders in 2019. Furthermore, as a result of our use of the “controlled company” exemptions, our investors will not have the same protection afforded to shareholders of companies that are subject to all of Nasdaq’s corporate governance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intend to use the net proceeds from the sale of the securities we offer as set forth in the applicable prospectus supplement(s).</w:t>
      </w:r>
    </w:p>
    <w:p>
      <w:pPr>
        <w:spacing w:after="0" w:line="237"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The specific allocations of the proceeds we receive from the sale of our securities will be described in the applicable prospectus supplement(s). 13</w:t>
      </w:r>
    </w:p>
    <w:p>
      <w:pPr>
        <w:sectPr>
          <w:pgSz w:w="11900" w:h="16838" w:orient="portrait"/>
          <w:cols w:equalWidth="0" w:num="1">
            <w:col w:w="10840"/>
          </w:cols>
          <w:pgMar w:left="320" w:top="459" w:right="7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a Cayman Islands exempted company with limited liability and our corporate affairs are governed by our memorandum and articles of association, as amended and restated from time to time, the Companies Law (as amended) of the Cayman Islands, which is referred to as the Companies Law below, and the common law of the Cayman Islands.</w:t>
      </w:r>
    </w:p>
    <w:p>
      <w:pPr>
        <w:spacing w:after="0" w:line="184"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As of the date of this prospectus, our authorized share capital is US$1,000,000 divided into 100,000,000,000 shares comprising of (i) 94,000,000,000 Class A ordinary shares of a par value of US$0.00001 each, (ii) 5,000,000,000 Class B ordinary shares of a par value of US$0.00001 each and (iii) 1,000,000,000 shares of a par value of US$0.00001 each of such class or classes (however designated) as the board of directors may determine in accordance with the ninth amended and restated memorandum and articles of association of our company.</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of association and the Companies Law insofar as they relate to the material terms of our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All of our outstanding ordinary shares are fully paid and non-assessable. Certificates representing the ordinary shares are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form. Our shareholders who are non-residents of the Cayman Islands may freely hold and vote their ordinary shares. Our company will issue only non-negotiable shares, and will not issue bearer or negotiable shares.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80" w:right="20" w:hanging="432"/>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of the amount paid or agreed to be considered as paid, on the shares of each member and whether each relevant category of shares held by a member carries voting rights under the articles of association of the company, and if so, whether such voting rights are conditional;</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Once our register of members has been updated, the shareholders recorded in the register of members should be deemed to have legal title to the shares set against their name in the register of members.</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ordinary shares are entitled to such dividends as may be declared by our board of directors (provided always that</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may be declared and paid only out of funds legally available therefor, namely out of either profit, retained earnings or our share premium account, and provided further that a dividend may not be paid if this would result in our company being unable to pay its debts as they fall due in the ordinary course of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Classes of Ordinary Shares</w:t>
      </w:r>
      <w:r>
        <w:rPr>
          <w:rFonts w:ascii="Arial" w:cs="Arial" w:eastAsia="Arial" w:hAnsi="Arial"/>
          <w:sz w:val="17"/>
          <w:szCs w:val="17"/>
          <w:color w:val="auto"/>
        </w:rPr>
        <w:t>. Our ordinary shares are divided into Class A ordinary shares and Class B ordinary shares (and a further class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authorized but undesignated shares). Except for conversion rights and voting rights, the Class A ordinary shares and Class B ordinary shares shall carry equal rights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one another, including but not limited to the rights to dividends (subject to the ability of the board of directors, under our current memorandum and articles of association, to determine that a dividend shall be paid wholly or partly by the distribution of specific assets (which may consist of the shares or securities of any other company) and to settle all questions concerning such distribution (including fixing the value of such assets, determining that cash payment shall be made to some shareholders in lieu of specific assets and vesting any such specific assets in trustees on such terms as the directors think fit)) and other capital distributions.</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Class B ordinary shares may be converted into the same number of Class A ordinary shares by the holders thereof at any time, while</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ordinary shares cannot be converted into Class B ordinary shares under any circumstances.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Class A ordinary shares and Class B ordinary shares shall, at all times, vote together as one class on all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a vote by the members at any general meeting of the Company. Each Class A ordinary share shall be entitled to one vote on all matters subject to the vote at general meetings of our company, and each Class B ordinary share shall be entitled to ten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Walkers (Hong Kong),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Law and not inconsistent with common law.</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the votes attached to the ordinary shares cast by those shareholders entitled to vote who are present in person or by proxy (or, in the case of corporations, by their duly authorized representatives) at a general meeting, while a special resolution requires the affirmative vote of a majority of no less than two-thirds of the votes attached to the ordinary shares cast by those shareholders who are present in person or by proxy (or, in the case of corporations, by their duly authorized representatives) at a general meeting. Both ordinary resolutions and special resolutions may also be passed by a unanimous written resolution signed by all the shareholders of our company, as permitted by the Companies Law and our memorandum and articles of association. A special resolution will be required for important matters such as a change of name or making changes to our memorandum and articles of association.</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Any of our shareholders may transfer all or any of his or her ordinary shares by an instrument of transfer in the usual</w:t>
      </w:r>
      <w:r>
        <w:rPr>
          <w:rFonts w:ascii="Arial" w:cs="Arial" w:eastAsia="Arial" w:hAnsi="Arial"/>
          <w:sz w:val="18"/>
          <w:szCs w:val="18"/>
          <w:i w:val="1"/>
          <w:iCs w:val="1"/>
          <w:color w:val="auto"/>
        </w:rPr>
        <w:t xml:space="preserve"> </w:t>
      </w:r>
      <w:r>
        <w:rPr>
          <w:rFonts w:ascii="Arial" w:cs="Arial" w:eastAsia="Arial" w:hAnsi="Arial"/>
          <w:sz w:val="18"/>
          <w:szCs w:val="18"/>
          <w:color w:val="auto"/>
        </w:rPr>
        <w:t>or common form or any other form approved by our board of directors.</w:t>
      </w:r>
    </w:p>
    <w:p>
      <w:pPr>
        <w:spacing w:after="0" w:line="170"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52" w:lineRule="exact"/>
        <w:rPr>
          <w:sz w:val="20"/>
          <w:szCs w:val="20"/>
          <w:color w:val="auto"/>
        </w:rPr>
      </w:pPr>
    </w:p>
    <w:p>
      <w:pPr>
        <w:ind w:left="980" w:right="620" w:hanging="432"/>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60" w:hanging="432"/>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fee of such maximum sum as the Nasdaq Global Select Market may determine to be payable, or such lesser sum as the board of directors may from time to time require, is paid to the Company in respect thereof;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transfer to joint holders, the transfer is not to more than four joint holders.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our directors refuse to register a transfer they are required, within three months after the date on which the instrument of transfer was lodged, to send to each of the transferor and the transferee notice of such refusal.</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On a return of capital on winding up or otherwise (other than on conversion, redemption or purchase of ordinary shares or, on a</w:t>
      </w:r>
      <w:r>
        <w:rPr>
          <w:rFonts w:ascii="Arial" w:cs="Arial" w:eastAsia="Arial" w:hAnsi="Arial"/>
          <w:sz w:val="17"/>
          <w:szCs w:val="17"/>
          <w:i w:val="1"/>
          <w:iCs w:val="1"/>
          <w:color w:val="auto"/>
        </w:rPr>
        <w:t xml:space="preserve"> </w:t>
      </w:r>
      <w:r>
        <w:rPr>
          <w:rFonts w:ascii="Arial" w:cs="Arial" w:eastAsia="Arial" w:hAnsi="Arial"/>
          <w:sz w:val="17"/>
          <w:szCs w:val="17"/>
          <w:color w:val="auto"/>
        </w:rPr>
        <w:t>winding up, with the sanction of a special resolution of the Company and any other sanction required by the Companies Law), assets available for distribution among the holders of ordinary shares will be distributed among the holders of the ordinary shares in proportion to the par value of the shares held by them (subject to, on a winding up where the assets available for distribution amongst the shareholders of the Company shall be more than sufficient to repay the whole of the share capital at the commencement of the winding up, a deduction from ordinary shares in respect of which there are monies due of all monies payable to the Company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 We are a “limited liability” company registered under the Companies Law, and under the Companies Law, the liability of our members is limited to the amount, if any, unpaid on the shares respectively held by them. Our current memorandum of association contains a declaration that the liability of our members is so limited.</w:t>
      </w:r>
    </w:p>
    <w:p>
      <w:pPr>
        <w:spacing w:after="0" w:line="18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Calls on Ordinary Shares and Forfeiture of Ordinary shares</w:t>
      </w:r>
      <w:r>
        <w:rPr>
          <w:rFonts w:ascii="Arial" w:cs="Arial" w:eastAsia="Arial" w:hAnsi="Arial"/>
          <w:sz w:val="18"/>
          <w:szCs w:val="18"/>
          <w:color w:val="auto"/>
        </w:rPr>
        <w:t>. Our board of directors may from time to time make calls upon shareholders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unpaid on their ordinary shares (together with any interests which may have accrued). The ordinary shares that have been called upon and remain unpaid are subject to forfeiture.</w:t>
      </w:r>
    </w:p>
    <w:p>
      <w:pPr>
        <w:spacing w:after="0" w:line="184" w:lineRule="exact"/>
        <w:rPr>
          <w:sz w:val="20"/>
          <w:szCs w:val="20"/>
          <w:color w:val="auto"/>
        </w:rPr>
      </w:pPr>
    </w:p>
    <w:p>
      <w:pPr>
        <w:ind w:left="120" w:right="180" w:firstLine="440"/>
        <w:spacing w:after="0" w:line="288" w:lineRule="auto"/>
        <w:rPr>
          <w:sz w:val="20"/>
          <w:szCs w:val="20"/>
          <w:color w:val="auto"/>
        </w:rPr>
      </w:pPr>
      <w:r>
        <w:rPr>
          <w:rFonts w:ascii="Arial" w:cs="Arial" w:eastAsia="Arial" w:hAnsi="Arial"/>
          <w:sz w:val="16"/>
          <w:szCs w:val="16"/>
          <w:i w:val="1"/>
          <w:iCs w:val="1"/>
          <w:color w:val="auto"/>
        </w:rPr>
        <w:t>Redemption, Repurchase and Surrender of Ordinary Shares</w:t>
      </w:r>
      <w:r>
        <w:rPr>
          <w:rFonts w:ascii="Arial" w:cs="Arial" w:eastAsia="Arial" w:hAnsi="Arial"/>
          <w:sz w:val="16"/>
          <w:szCs w:val="16"/>
          <w:color w:val="auto"/>
        </w:rPr>
        <w:t>. We may issue shares on terms that such shares are subject to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other than shares held as treasury shares, or (c) if the company has commenced liquidation. In addition, our company may accept the surrender of any fully paid share for no consideration.</w:t>
      </w:r>
    </w:p>
    <w:p>
      <w:pPr>
        <w:spacing w:after="0" w:line="168"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i w:val="1"/>
          <w:iCs w:val="1"/>
          <w:color w:val="auto"/>
        </w:rPr>
        <w:t>Variations of Rights of Shares</w:t>
      </w:r>
      <w:r>
        <w:rPr>
          <w:rFonts w:ascii="Arial" w:cs="Arial" w:eastAsia="Arial" w:hAnsi="Arial"/>
          <w:sz w:val="17"/>
          <w:szCs w:val="17"/>
          <w:color w:val="auto"/>
        </w:rPr>
        <w:t>. If at any time, our share capital is divided into different classes of shares, all or any of the rights attached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such class may (subject to any rights or restrictions for the time being attached to any class of share) only be materially adversely varied with the consent in writing of the holders of two-thirds of the issued shares of that class or with the sanction of a resolution passed at a separate meeting of the holders of the shares of that class by the holders of two-thirds of the issued shares of that class. The rights conferred upon the holders of the shares of any class issued with preferred or other rights will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General Meetings of Shareholders and Shareholder Proposals</w:t>
      </w:r>
      <w:r>
        <w:rPr>
          <w:rFonts w:ascii="Arial" w:cs="Arial" w:eastAsia="Arial" w:hAnsi="Arial"/>
          <w:sz w:val="17"/>
          <w:szCs w:val="17"/>
          <w:color w:val="auto"/>
        </w:rPr>
        <w:t>. As a Cayman Islands exempted company, we are not obliged by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Law to call shareholders’ annual general meetings. Our current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Advance notice of at least seven calendar days is required for the convening of our annual general shareholders’ meeting and any other general meeting of our shareholders. A quorum required for a general meeting of shareholders consists of one or more shareholders holding shares in our Company which carry in aggregate (or representing by proxy) not less than one-third of all votes attaching to all shares in our Company in issue and entitled to vote at such general meeting, present in person or by proxy or, if a corporation or other non-natural person, by its duly authorized representative.</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allow our shareholders holding shares representing in aggregate not less than one-third of all votes attaching to all issued and outstanding shares of the Company that as at the date of the deposit of such requisition carry the right to vote at general meetings of the Company, to requisition an extraordinary general meeting of the shareholders, in which case our directors are obliged to call such meeting and to put the resolutions so requisitioned to a vote at such meeting; however, our current memorandum and articles of association do not provide our shareholders with any right to put any proposals before annual general meetings or extraordinary general meetings not called by such shareholders.</w:t>
      </w:r>
    </w:p>
    <w:p>
      <w:pPr>
        <w:spacing w:after="0" w:line="16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Inspection of Books and Record</w:t>
      </w:r>
      <w:r>
        <w:rPr>
          <w:rFonts w:ascii="Arial" w:cs="Arial" w:eastAsia="Arial" w:hAnsi="Arial"/>
          <w:sz w:val="18"/>
          <w:szCs w:val="18"/>
          <w:color w:val="auto"/>
        </w:rPr>
        <w:t>s. Holders of our ordinary shares have no general right under Cayman Islands law to inspect or obtain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list of shareholders or our corporate records.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Changes in Capital. </w:t>
      </w:r>
      <w:r>
        <w:rPr>
          <w:rFonts w:ascii="Arial" w:cs="Arial" w:eastAsia="Arial" w:hAnsi="Arial"/>
          <w:sz w:val="18"/>
          <w:szCs w:val="18"/>
          <w:color w:val="auto"/>
        </w:rPr>
        <w:t>Our shareholders may from time to time by ordinary resolution:</w:t>
      </w:r>
    </w:p>
    <w:p>
      <w:pPr>
        <w:spacing w:after="0" w:line="131" w:lineRule="exact"/>
        <w:rPr>
          <w:sz w:val="20"/>
          <w:szCs w:val="20"/>
          <w:color w:val="auto"/>
        </w:rPr>
      </w:pPr>
    </w:p>
    <w:p>
      <w:pPr>
        <w:ind w:left="980" w:hanging="432"/>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 our share capital by such sum, to be divided into shares of such classes and amount, as the resolution shall prescribe;</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jc w:val="both"/>
        <w:ind w:left="980" w:right="160" w:hanging="432"/>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89"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i w:val="1"/>
          <w:iCs w:val="1"/>
          <w:color w:val="auto"/>
        </w:rPr>
        <w:t>Exempted Company</w:t>
      </w:r>
      <w:r>
        <w:rPr>
          <w:rFonts w:ascii="Arial" w:cs="Arial" w:eastAsia="Arial" w:hAnsi="Arial"/>
          <w:sz w:val="16"/>
          <w:szCs w:val="16"/>
          <w:color w:val="auto"/>
        </w:rPr>
        <w:t>. We are an exempted company with limited liability under the Companies Law of the Cayman Islands. The Companies Law</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63"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company’s register of members is not required to be open to inspection;</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 may issue no par value shares;</w:t>
      </w:r>
    </w:p>
    <w:p>
      <w:pPr>
        <w:spacing w:after="0" w:line="130" w:lineRule="exact"/>
        <w:rPr>
          <w:rFonts w:ascii="Arial" w:cs="Arial" w:eastAsia="Arial" w:hAnsi="Arial"/>
          <w:sz w:val="18"/>
          <w:szCs w:val="18"/>
          <w:color w:val="auto"/>
        </w:rPr>
      </w:pPr>
    </w:p>
    <w:p>
      <w:pPr>
        <w:ind w:left="980" w:right="16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Registered Office and Objects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registered office in the Cayman Islands is located at the offices of Intertrust Corporate Services (Cayman) Limited, 190 Elgin Avenue, George Town, Grand Cayman KY1-9005, Cayman Islands, or at such other location within the Cayman Islands as our directors may from time to time decide. The objects for which our company is established are unrestricted and we have full power and authority to carry out any object not prohibited by the Companies Law or any other law of the Cayman Islands.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Our board of directors consists of eight directors. Baidu Holdings has the right to appoint a majority of our directors as long as Baidu Holdings and its affiliates hold no less than 50% of the voting power of our Company. In addition, some of our directors are also senior management of Baidu. A director is not required to hold any shares in our company by way of qualification. A director may vote with respect to any contract, proposed contract or arrangement in which he is materially interested provided (i) such director, if his interest in such contract or arrangement is material, has declared the nature of his interest at the earliest meeting of the board at which it is practicable for him to do so, either specifically or by way of a general notice and</w:t>
      </w:r>
    </w:p>
    <w:p>
      <w:pPr>
        <w:spacing w:after="0" w:line="2" w:lineRule="exact"/>
        <w:rPr>
          <w:sz w:val="20"/>
          <w:szCs w:val="20"/>
          <w:color w:val="auto"/>
        </w:rPr>
      </w:pPr>
    </w:p>
    <w:p>
      <w:pPr>
        <w:ind w:left="120" w:right="60" w:hanging="4"/>
        <w:spacing w:after="0" w:line="253" w:lineRule="auto"/>
        <w:tabs>
          <w:tab w:leader="none" w:pos="3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193"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a compensation committee that assists the board in reviewing and approving the compensation structure and form of compensation of our directors and executive officers. Members of the compensation committee are not prohibited from direct involvement in determining their own compensation. Our chief executive officer may not be present at any committee meeting during which his compensation is deliberated.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comparable provisions of the laws applicable to companies incorporated in Delaware and their shareholders.</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4" w:lineRule="exact"/>
        <w:rPr>
          <w:sz w:val="20"/>
          <w:szCs w:val="20"/>
          <w:color w:val="auto"/>
        </w:rPr>
      </w:pPr>
    </w:p>
    <w:p>
      <w:pPr>
        <w:ind w:left="120" w:right="120" w:hanging="4"/>
        <w:spacing w:after="0" w:line="269" w:lineRule="auto"/>
        <w:tabs>
          <w:tab w:leader="none" w:pos="3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The written plan of merger or consolidation must be filed with the Registrar of Companies together with a declaration (among other matters) as to the solvency of the consolidated or surviving company, a statement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or creditor has the right to express to the court the view that the transaction ought not to be approved, the court would nevertheless be likely to approve the arrangement if it determines that:</w:t>
      </w:r>
    </w:p>
    <w:p>
      <w:pPr>
        <w:spacing w:after="0" w:line="70" w:lineRule="exact"/>
        <w:rPr>
          <w:sz w:val="20"/>
          <w:szCs w:val="20"/>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80" w:right="160" w:hanging="43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w:t>
      </w:r>
    </w:p>
    <w:p>
      <w:pPr>
        <w:spacing w:after="0" w:line="24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Where a scheme or contract involving the transfer of shares or any class of shares in a company to another company has, within four months after the making of the offer, been approved by the holders of not less than ninety per cent in value of the shares affected, the offeror may, within a two-month period commencing on the expiration of such four-month period, require the holders of the remaining shares to transfer such shares on the terms of the offer. Dissenting shareholders may object by filing proceedings in the Grand Court of the Cayman Islands, but such objections are unlikely to be successful where the offer has been accepted by holders of 90% in value of the shares affected unless there is evidence that shareholders have been treated in an unfair or prejudicial manner.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arrangement and reconstruction of a Cayman Islands company is approved by at least 90% in value of the shareholders (as described above), a dissenting shareholder would have no rights comparable to the appraisal rights which it would have if the company in question were a Delaware corporation (being the right to receive payment in cash for the judicially determined value of its shares).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In the ordinary course, litigation brought in the name of the company must be brought by the company acting by its board,</w:t>
      </w:r>
      <w:r>
        <w:rPr>
          <w:rFonts w:ascii="Arial" w:cs="Arial" w:eastAsia="Arial" w:hAnsi="Arial"/>
          <w:sz w:val="18"/>
          <w:szCs w:val="18"/>
          <w:i w:val="1"/>
          <w:iCs w:val="1"/>
          <w:color w:val="auto"/>
        </w:rPr>
        <w:t xml:space="preserve"> </w:t>
      </w:r>
      <w:r>
        <w:rPr>
          <w:rFonts w:ascii="Arial" w:cs="Arial" w:eastAsia="Arial" w:hAnsi="Arial"/>
          <w:sz w:val="18"/>
          <w:szCs w:val="18"/>
          <w:color w:val="auto"/>
        </w:rPr>
        <w:t>such that shareholders cannot sue in the name of the company. However, in certain circumstances (including where the alleged wrongdoer is in control of the company), shareholders in Cayman Islands companies may cause proceedings to be brought derivatively for and on behalf of the company against third parties, including the company’s directors.</w:t>
      </w:r>
    </w:p>
    <w:p>
      <w:pPr>
        <w:spacing w:after="0" w:line="187" w:lineRule="exact"/>
        <w:rPr>
          <w:sz w:val="20"/>
          <w:szCs w:val="20"/>
          <w:color w:val="auto"/>
        </w:rPr>
      </w:pPr>
    </w:p>
    <w:p>
      <w:pPr>
        <w:ind w:left="120" w:right="180" w:firstLine="440"/>
        <w:spacing w:after="0" w:line="268" w:lineRule="auto"/>
        <w:rPr>
          <w:sz w:val="20"/>
          <w:szCs w:val="20"/>
          <w:color w:val="auto"/>
        </w:rPr>
      </w:pPr>
      <w:r>
        <w:rPr>
          <w:rFonts w:ascii="Arial" w:cs="Arial" w:eastAsia="Arial" w:hAnsi="Arial"/>
          <w:sz w:val="17"/>
          <w:szCs w:val="17"/>
          <w:i w:val="1"/>
          <w:iCs w:val="1"/>
          <w:color w:val="auto"/>
        </w:rPr>
        <w:t xml:space="preserve">Indemnification of Directors and Executive Officers and Limitation of Liability. </w:t>
      </w:r>
      <w:r>
        <w:rPr>
          <w:rFonts w:ascii="Arial" w:cs="Arial" w:eastAsia="Arial" w:hAnsi="Arial"/>
          <w:sz w:val="17"/>
          <w:szCs w:val="17"/>
          <w:color w:val="auto"/>
        </w:rPr>
        <w:t>The ability of Cayman Islands companies to provide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of association for indemnification of officers and directors is limited, insofar as it is not permissible for the directors to contract out of the core fiduciary duties they owe to the company, nor would any indemnity be effective if it were held by the Cayman Islands courts to be contrary to public policy, which would include any attempt to provide indemnification against civil fraud or the consequences of committing a crime. Our current memorandum and articles of association provide that our directors and officers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have entered into indemnification agreements with each of our directors and executive officers that will provide such persons with additional indemnification beyond that provided in our current memorandum and articles of association.</w:t>
      </w:r>
    </w:p>
    <w:p>
      <w:pPr>
        <w:spacing w:after="0" w:line="18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i w:val="1"/>
          <w:iCs w:val="1"/>
          <w:color w:val="auto"/>
        </w:rPr>
        <w:t xml:space="preserve">Anti-Takeover Provisions in the Memorandum and Articles of Association. </w:t>
      </w:r>
      <w:r>
        <w:rPr>
          <w:rFonts w:ascii="Arial" w:cs="Arial" w:eastAsia="Arial" w:hAnsi="Arial"/>
          <w:sz w:val="17"/>
          <w:szCs w:val="17"/>
          <w:color w:val="auto"/>
        </w:rPr>
        <w:t>Some provisions of our current memorandum and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88" w:lineRule="exact"/>
        <w:rPr>
          <w:sz w:val="20"/>
          <w:szCs w:val="20"/>
          <w:color w:val="auto"/>
        </w:rPr>
      </w:pPr>
    </w:p>
    <w:p>
      <w:pPr>
        <w:ind w:left="120" w:right="280" w:firstLine="440"/>
        <w:spacing w:after="0" w:line="273"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owes duties to the company including the following: 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and the test in the Cayman Islands against which that duty is measured is both objective and subjective.</w:t>
      </w:r>
    </w:p>
    <w:p>
      <w:pPr>
        <w:spacing w:after="0" w:line="178"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7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table resolutions at a general meeting. However, these rights may be provided in a company’s articles of association. Our current memorandum and articles of association provides that, on the requisition of shareholders holding shares representing in aggregate not less than one-third (1/3) of all votes attaching to all issued and outstanding shares of the Company that as at the date of the deposit of such requisition carry the right to vote at general meetings of the Company, the board shall convene an extraordinary general meeting. However, our current memorandum and articles of association do not provide our shareholders with any right to put any proposals before annual general meetings or extraordinary general meetings not called by such shareholders. As an exempted Cayman Islands company, we are not obliged by law to call shareholders’ annual general meetings.</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current articles of association do not provide for cumulative voting. As a result, our shareholders are not afforded any less protections or rights on this issue than shareholders of a Delaware corporation.</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Appointment of Directors. </w:t>
      </w:r>
      <w:r>
        <w:rPr>
          <w:rFonts w:ascii="Arial" w:cs="Arial" w:eastAsia="Arial" w:hAnsi="Arial"/>
          <w:sz w:val="18"/>
          <w:szCs w:val="18"/>
          <w:color w:val="auto"/>
        </w:rPr>
        <w:t>For so long as Baidu Holdings and its affiliates collectively hold no less than 50% of the voting power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Baidu Holdings shall be entitled to appoint, remove and replace a majority of the directors.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board of directors may, by the affirmative vote of a simple majority of the remaining directors present and voting at a meeting of the board of directors, appoint any person as a director, to fill a casual vacancy on the board of directors that is not a Baidu Holdings appointed director or as an addition to the existing board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directors. A vacancy on the board of directors created by the removal of a non-Baidu Holdings appointed director may be filled by way of an ordinary resolution of the Company’s shareholders or by the affirmative vote of a simple majority of the remaining directors present and voting at a meeting of the board of directors.</w:t>
      </w:r>
    </w:p>
    <w:p>
      <w:pPr>
        <w:spacing w:after="0" w:line="184" w:lineRule="exact"/>
        <w:rPr>
          <w:sz w:val="20"/>
          <w:szCs w:val="20"/>
          <w:color w:val="auto"/>
        </w:rPr>
      </w:pPr>
    </w:p>
    <w:p>
      <w:pPr>
        <w:jc w:val="both"/>
        <w:ind w:left="120" w:right="220" w:firstLine="440"/>
        <w:spacing w:after="0" w:line="277" w:lineRule="auto"/>
        <w:rPr>
          <w:sz w:val="20"/>
          <w:szCs w:val="20"/>
          <w:color w:val="auto"/>
        </w:rPr>
      </w:pPr>
      <w:r>
        <w:rPr>
          <w:rFonts w:ascii="Arial" w:cs="Arial" w:eastAsia="Arial" w:hAnsi="Arial"/>
          <w:sz w:val="18"/>
          <w:szCs w:val="18"/>
          <w:color w:val="auto"/>
        </w:rPr>
        <w:t>Each director whose term of office expires shall be eligible for re-election at a meeting of the Company’s shareholders or re-appointment by the board of directors.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with a classified board may be removed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with the approval of a majority of the outstanding shares entitled to vote, unless the certificate of incorporation provides otherwise. Under our current memorandum and articles of association, directors not appointed by Baidu Holdings may be removed by ordinary resolution of our shareholders or pursuant to an existing written agreement between the director and the Company.</w:t>
      </w:r>
    </w:p>
    <w:p>
      <w:pPr>
        <w:spacing w:after="0" w:line="18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i w:val="1"/>
          <w:iCs w:val="1"/>
          <w:color w:val="auto"/>
        </w:rPr>
        <w:t xml:space="preserve">Transactions with Interested Shareholders. </w:t>
      </w:r>
      <w:r>
        <w:rPr>
          <w:rFonts w:ascii="Arial" w:cs="Arial" w:eastAsia="Arial" w:hAnsi="Arial"/>
          <w:sz w:val="16"/>
          <w:szCs w:val="16"/>
          <w:color w:val="auto"/>
        </w:rPr>
        <w:t>The Delaware General Corporation Law contains a business combination statute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Dissolution; Winding Up</w:t>
      </w:r>
      <w:r>
        <w:rPr>
          <w:rFonts w:ascii="Arial" w:cs="Arial" w:eastAsia="Arial" w:hAnsi="Arial"/>
          <w:sz w:val="17"/>
          <w:szCs w:val="17"/>
          <w:color w:val="auto"/>
        </w:rPr>
        <w:t>. Under the Delaware General Corporation Law, unless the board of directors approves the proposal to dissolve,</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Cayman Islands law, a company may be wound up either voluntarily or compulsorily. A company may be wound up by the Grand Court of the Cayman Islands for a number of reasons, including: (i) the company has passed a special resolution requiring the company to be wound up by the Grand Court; (ii) the company is unable to pay its debts; and (iii) the Grand Court is of opinion that it is just and equitable that the company should be wound up.</w:t>
      </w:r>
    </w:p>
    <w:p>
      <w:pPr>
        <w:spacing w:after="0" w:line="187"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i w:val="1"/>
          <w:iCs w:val="1"/>
          <w:color w:val="auto"/>
        </w:rPr>
        <w:t>Variation of Rights of Shares</w:t>
      </w:r>
      <w:r>
        <w:rPr>
          <w:rFonts w:ascii="Arial" w:cs="Arial" w:eastAsia="Arial" w:hAnsi="Arial"/>
          <w:sz w:val="16"/>
          <w:szCs w:val="16"/>
          <w:color w:val="auto"/>
        </w:rPr>
        <w:t>. Under the Delaware General Corporation Law, a corporation may vary the rights of a class of shares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of such class, unless the certificate of incorporation provides otherwise. Under our current articles of association, we may only materially adversely vary the rights attached to any class of shares (subject to any rights or restrictions for the time being attached to any class of share) with the consent in writing of the holders of two-thirds of the issued shares of that class or with the sanction of a resolution passed at a separate meeting of the holders of the shares of that class by the holders of two-thirds of the issued shares of that class.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Amendment of Governing Documents. </w:t>
      </w:r>
      <w:r>
        <w:rPr>
          <w:rFonts w:ascii="Arial" w:cs="Arial" w:eastAsia="Arial" w:hAnsi="Arial"/>
          <w:sz w:val="18"/>
          <w:szCs w:val="18"/>
          <w:color w:val="auto"/>
        </w:rPr>
        <w:t>Under the Delaware General Corporation Law, a corporation’s certificate of incorporation may be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Law, our memorandum and articles of association may only be amended by special resolution of our shareholders.</w:t>
      </w:r>
    </w:p>
    <w:p>
      <w:pPr>
        <w:spacing w:after="0" w:line="18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Rights of Non-Resident or Foreign Shareholders</w:t>
      </w:r>
      <w:r>
        <w:rPr>
          <w:rFonts w:ascii="Arial" w:cs="Arial" w:eastAsia="Arial" w:hAnsi="Arial"/>
          <w:sz w:val="17"/>
          <w:szCs w:val="17"/>
          <w:color w:val="auto"/>
        </w:rPr>
        <w:t>. There are no limitations imposed by our current memorandum and articles of association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of non-resident or foreign shareholders to hold or exercise voting rights on our shares. In addition, there are no provisions in our current memorandum and articles of association governing the ownership threshold above which shareholder ownership must be disclosed.</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Directors’ Power to Issue Shares</w:t>
      </w:r>
      <w:r>
        <w:rPr>
          <w:rFonts w:ascii="Arial" w:cs="Arial" w:eastAsia="Arial" w:hAnsi="Arial"/>
          <w:sz w:val="18"/>
          <w:szCs w:val="18"/>
          <w:color w:val="auto"/>
        </w:rPr>
        <w:t>. Under our current memorandum and articles of association, our board of directors is empowered to issue or allot</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grant options and warrants with or without preferred, deferred, qualified or other special rights or restrictions.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January 2017, we issued and sold in the aggregate US$1.53 billion of convertible notes to Baidu Holdings, Harvest Rewards Fund LP, Eastone International Co., Ltd, Gorgeous Rainbow Limited, HH RSV-V Holdings Limited, Honey Best Limited, Madrone Opportunity Fund, L.P., Xiang He Fund I, L.P., VMS Video Holdings Limited, IDG Infinity Financial Limited, Run Liang Tai (Hong Kong) Investment Company Limited, SCC Growth IV Holdco A, Ltd. and Silverlink Capital LP.</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December 2018, we completed an offering of US$750 million in aggregate principal amount of convertible senior notes due 2023, or the 2023 Notes. The 2023 Notes have been offered in the United States to qualified institutional buyers pursuant to Rule 144A and to non-U.S. persons outside the United States in reliance on Regulation S under the Securities Act. The initial conversion rate of the 2023 Notes is 37.1830 ADSs per US$1,000 principal amount of Notes (which is equivalent to an initial conversion price of approximately US$26.89 per ADS and represents a conversion premium of approximately 40% above the closing price of the ADSs on November 29, 2018, which was US$19.21 per ADS). The conversion rate for the 2023 Notes is subject to adjustment upon the occurrence of certain events. The 2023 Notes will bear interest at a rate of 3.75% per year, payable semi-annually in arrears on June 1 and December 1 of each year, beginning on June 1, 2019. The 2023 Notes will mature on December 1, 2023, unless previously repurchased, redeemed or converted in accordance with their terms prior to such date. The holders may require us to repurchase all or portion of the Notes for cash on December 1, 2021, or upon a fundamental change, at a repurchase price equal to 100% of the principal amount, plus accrued and unpaid interest. In connection with the offering of the 2023 Notes, we have entered into capped call transactions with certain counterparties, where we purchased capped call options at the price of US$67.5 million. The cap price of the capped call transactions is initially US$38.42 per ADS and is subject to adjustment under the terms of the capped call transactions.</w:t>
      </w:r>
    </w:p>
    <w:p>
      <w:pPr>
        <w:spacing w:after="0" w:line="17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March 2019, we completed an offering of US$1.2 billion in aggregate principal amount of convertible senior notes due 2025, or the 2025 Notes. The 2025 Notes have been offered in the United States to qualified institutional buyers pursuant to Rule 144A and to non-U.S. persons outside the United States in reliance on Regulation S under the Securities Act. The initial conversion rate of the 2025 Notes is 33.0003 ADSs per US$1,000 principal amount of Notes (which is equivalent to an initial conversion price of approximately US$30.30 per ADS and represents a conversion premium of 32.5% above the closing price of our ADSs on March 26, 2019, which was US$22.87 per ADS). The conversion rate for the 2025 Notes is subject to adjustment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upon the occurrence of certain events. The 2025 Notes will bear interest at a rate of 2.00% per year, payable semi-annually in arrears on April 1 and October 1 of each year, beginning on October 1, 2019. The 2025 Notes will mature on April 1, 2025, unless previously repurchased, redeemed or converted in accordance with their terms prior to such date. The holders may require us to repurchase all or portion of the Notes for cash on April 1, 2023, or upon a fundamental change, at a repurchase price equal to 100% of the principal amount, plus accrued and unpaid interest. In connection with the offering of the 2025 Notes, we have entered into capped call transactions with certain counterparties, where we purchased capped call options at the price of US$84.5 million. The cap price of the capped call transactions is initially US$40.02 per ADS and is subject to adjustment under the terms of the capped call transactions.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February 2, 2018, we issued 7,500,251 ordinary shares to Cannes Ventures Limited pursuant to the exercise of certain options.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April 3, 2018, at the closing of our initial public offering, we issued and sold a total of 875,000,000 Class A ordinary shares, represented by ADSs at a public offering price of US$18.00 per ADS. On April 30, 2018, we issued and sold an additional 67,525,675 Class A ordinary shares, represented by ADSs at US$18.00 per ADS, at the closing of the option to purchase additional ADSs exercised by the underwriters of our initial public offering.</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April 12, 2018, we issued an aggregate of 36,860,691 Class B ordinary shares to Baidu Holdings pursuant to a share purchase agreement we entered into with Baidu Holdings in February 2018.</w:t>
      </w:r>
    </w:p>
    <w:p>
      <w:pPr>
        <w:spacing w:after="0" w:line="170"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On September 24, 2018, we issued 399,083,573 Class A ordinary shares to our depositary bank for bulk issuance of ADSs reserved for future issuances upon the exercise or vesting of awards under the 2010 Equity Incentive Plan and the 2017 Share Incentive Plan. As of December 31, 2019, a total of 321,825,406 Class A ordinary shares are deemed issued but not outstanding as they have not been transferred to grantees.</w:t>
      </w:r>
    </w:p>
    <w:p>
      <w:pPr>
        <w:spacing w:after="0" w:line="14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On August 19, 2019 and August 14, 2020, we issued 11,888,853 and 10,917,811 restricted Class A ordinary shares, respectively, to certain key employees in relation to the acquisition of Skymoons. As of December 14, 2020, all of these restricted Class A ordinary shares have been transferred to the respective grantees, while 14,880,762 of them are contingent on the continued employment of grantees.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October 2017, we issued an aggregate of 1,014,436,019 Series G preferred shares to Baidu Holdings, Harvest Rewards Fund LP, Eastone International Co., Ltd, Gorgeous Rainbow Limited, HH RSV-V Holdings Limited, Honey Best Limited, Madrone Opportunity Fund, L.P., Xiang He Fund I, L.P., VMS Video Holdings Limited, IDG Infinity Financial Limited, Run Liang Tai (Hong Kong) Investment Company Limited, SCC Growth IV Holdco A, Ltd. and Silverlink Capital LP upon the conversion of the convertible notes described in the preceding paragraph. All preferred shares were converted into ordinary shares upon the closing of our initial public offering on April 3, 2018.</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and Restricted Share Unit Grants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granted options to purchase our ordinary shares and restricted share units to certain of our directors, executive officer, employees and employees of Baidu under our 2010 Plan and 2017 Plan, for their past and future services. See “Item 6. Directors, Senior Management and Employees— B. Compensation of Directors and Executive Officers—Share Incentive Plans.” in our annual report on Form 20-F for the year ended December 31, 2019, which is incorporated in this prospectus by reference.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Agreements and Registration Rights</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entered into our sixth amended and restated shareholders agreement on October 26, 2017 with our then-existing shareholders. This shareholders agreement terminated upon consummation of our initial public offering other than provisions with respect to registration rights granted to our then-existing shareholders. Set forth below is a description of the registration rights granted under the agreement.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At any time after the earlier of (i) the four-year period following the date of the shareholders agreement or</w:t>
      </w:r>
    </w:p>
    <w:p>
      <w:pPr>
        <w:spacing w:after="0" w:line="35" w:lineRule="exact"/>
        <w:rPr>
          <w:sz w:val="20"/>
          <w:szCs w:val="20"/>
          <w:color w:val="auto"/>
        </w:rPr>
      </w:pPr>
    </w:p>
    <w:p>
      <w:pPr>
        <w:ind w:left="120" w:right="60" w:hanging="4"/>
        <w:spacing w:after="0" w:line="285" w:lineRule="auto"/>
        <w:tabs>
          <w:tab w:leader="none" w:pos="3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180 days after the effective date of the registration statement for a public offering, holders of at least 30% of the registrable securities then outstanding, or Existing Initiating Holders, holders of at least 30% of the registrable securities issued or issuable upon conversion of the Series F preferred shares then outstanding, or Series F Initiating Holders, and holders of at least 30% of the registrable securities issued or issuable upon conversion of the Series G preferred shares then outstanding, or Series G Initiating Holders, have the right to demand that we file a registration statement covering the registration of any registrable securities of such holders. We have the right to defer filing of a registration statement for a period of not more than 90 days after the receipt of the request of the initiating holders under certain conditions, but we cannot exercise the deferral right more than once in any twelve-month period and we cannot register any other share during such twelve-month period. We are not obligated to effect a demand registration if we have, within the six-month period prior to the date of a demand registration request, already effected a registration. We are not obligated to effect more than four demand registrations initiated by the Existing Initiating Holders, more than two demand registrations initiated by the Series F Initiating Holders, or more than two demand registrations initiated by the Series G Initiating Holders, other than demand registration to be effected pursuant to registration statement on Form F-3, for which an unlimited number of demand registrations shall be permitted.</w:t>
      </w:r>
    </w:p>
    <w:p>
      <w:pPr>
        <w:spacing w:after="0" w:line="17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file a registration statement for a public offering of our securities, we must offer holders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registrable securities an opportunity to include in the registration the number of registrable securities of the same class or series as those proposed to be registered. If the managing underwriters of any underwritten offering determine in its view the number of registrable securities exceeds the maximum offering size, the registrable securities shall allocate first to us, second to each of holders requesting for the inclusion of their registrable securities pursuant to the piggyback registration, and third to holders of our other securities with such priorities among them as we shall determine.</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Form F-3 Registration Rights. </w:t>
      </w:r>
      <w:r>
        <w:rPr>
          <w:rFonts w:ascii="Arial" w:cs="Arial" w:eastAsia="Arial" w:hAnsi="Arial"/>
          <w:sz w:val="17"/>
          <w:szCs w:val="17"/>
          <w:color w:val="auto"/>
        </w:rPr>
        <w:t>Any of the Existing Initiating Holders, Series F Initiating Holders and Series G Initiating Holders may request us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to file an unlimited number of registration statements on Form F-3. Promptly after receiving such request, we shall give written notice of the proposed registration and within 20 days of such notice, we shall effect the registration of the securities on Form F-3.</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will bear all registration expenses, other than underwriting discounts and selling commissions incurred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demand, piggyback or F-3 registration.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JPMorgan Chase Bank, N.A, as depositary, will issue the ADSs which may be offered from time to time under this prospectus. Each ADS will represent an ownership interest in a designated number of shares which we will deposit with the custodian, as agent of the depositary, under the deposit agreement among ourselves, the depositary and yourself as an ADR holder. Each ADS will also represent any securities, cash or other property deposited with by the depositary but which they have not been distributed directly to you. Unless certificated ADSs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depositary’s office is located at 383 Madison Avenue, Floor 11, New York, NY, 10179.</w:t>
      </w:r>
    </w:p>
    <w:p>
      <w:pPr>
        <w:spacing w:after="0" w:line="225"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8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The deposit agreement and form of ADR have been filed with the SEC as exhibits to our annual report on Form 20-F (File No. 001-38431).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How will I receive dividends and other distributions on the shares underlying my ADSs?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color w:val="auto"/>
        </w:rPr>
        <w:t>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142" w:lineRule="exact"/>
        <w:rPr>
          <w:sz w:val="20"/>
          <w:szCs w:val="20"/>
          <w:color w:val="auto"/>
        </w:rPr>
      </w:pPr>
    </w:p>
    <w:p>
      <w:pPr>
        <w:ind w:left="980" w:right="140" w:hanging="432"/>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Cash. </w:t>
      </w:r>
      <w:r>
        <w:rPr>
          <w:rFonts w:ascii="Arial" w:cs="Arial" w:eastAsia="Arial" w:hAnsi="Arial"/>
          <w:sz w:val="16"/>
          <w:szCs w:val="16"/>
          <w:color w:val="auto"/>
        </w:rPr>
        <w:t>The depositary will distribute any U.S. dollars available to it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(to the extent applicable), on an averaged or other practicable basis, subject to</w:t>
      </w:r>
    </w:p>
    <w:p>
      <w:pPr>
        <w:ind w:left="980"/>
        <w:spacing w:after="0" w:line="268" w:lineRule="auto"/>
        <w:rPr>
          <w:rFonts w:ascii="Arial" w:cs="Arial" w:eastAsia="Arial" w:hAnsi="Arial"/>
          <w:sz w:val="16"/>
          <w:szCs w:val="16"/>
          <w:color w:val="auto"/>
        </w:rPr>
      </w:pPr>
      <w:r>
        <w:rPr>
          <w:rFonts w:ascii="Arial" w:cs="Arial" w:eastAsia="Arial" w:hAnsi="Arial"/>
          <w:sz w:val="17"/>
          <w:szCs w:val="17"/>
          <w:color w:val="auto"/>
        </w:rPr>
        <w:t>(i)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88" w:lineRule="exact"/>
        <w:rPr>
          <w:rFonts w:ascii="Arial" w:cs="Arial" w:eastAsia="Arial" w:hAnsi="Arial"/>
          <w:sz w:val="16"/>
          <w:szCs w:val="16"/>
          <w:color w:val="auto"/>
        </w:rPr>
      </w:pPr>
    </w:p>
    <w:p>
      <w:pPr>
        <w:ind w:left="980" w:right="100" w:hanging="432"/>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89" w:lineRule="exact"/>
        <w:rPr>
          <w:rFonts w:ascii="Arial" w:cs="Arial" w:eastAsia="Arial" w:hAnsi="Arial"/>
          <w:sz w:val="18"/>
          <w:szCs w:val="18"/>
          <w:color w:val="auto"/>
        </w:rPr>
      </w:pPr>
    </w:p>
    <w:p>
      <w:pPr>
        <w:ind w:left="980" w:right="140" w:hanging="432"/>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Rights to Receive Additional Shares. </w:t>
      </w:r>
      <w:r>
        <w:rPr>
          <w:rFonts w:ascii="Arial" w:cs="Arial" w:eastAsia="Arial" w:hAnsi="Arial"/>
          <w:sz w:val="18"/>
          <w:szCs w:val="18"/>
          <w:color w:val="auto"/>
        </w:rPr>
        <w:t>In the case of a distribution of rights to subscribe for additional shares or other rights, if we timely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92"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7"/>
          <w:szCs w:val="17"/>
          <w:color w:val="auto"/>
        </w:rPr>
        <w:t>•   sell such rights if practicable and distribute the net proceeds in the same manner as cash to the ADR holders entitled thereto; or</w:t>
      </w:r>
    </w:p>
    <w:p>
      <w:pPr>
        <w:spacing w:after="0" w:line="142" w:lineRule="exact"/>
        <w:rPr>
          <w:rFonts w:ascii="Arial" w:cs="Arial" w:eastAsia="Arial" w:hAnsi="Arial"/>
          <w:sz w:val="18"/>
          <w:szCs w:val="18"/>
          <w:color w:val="auto"/>
        </w:rPr>
      </w:pPr>
    </w:p>
    <w:p>
      <w:pPr>
        <w:jc w:val="center"/>
        <w:ind w:left="1320" w:right="160" w:hanging="324"/>
        <w:spacing w:after="0" w:line="342" w:lineRule="auto"/>
        <w:rPr>
          <w:rFonts w:ascii="Arial" w:cs="Arial" w:eastAsia="Arial" w:hAnsi="Arial"/>
          <w:sz w:val="18"/>
          <w:szCs w:val="18"/>
          <w:color w:val="auto"/>
        </w:rPr>
      </w:pPr>
      <w:r>
        <w:rPr>
          <w:rFonts w:ascii="Arial" w:cs="Arial" w:eastAsia="Arial" w:hAnsi="Arial"/>
          <w:sz w:val="16"/>
          <w:szCs w:val="16"/>
          <w:color w:val="auto"/>
        </w:rPr>
        <w:t>•   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obligation to file a registration statement under the Securities Act in order to make any rights available to ADR holders.</w:t>
      </w:r>
    </w:p>
    <w:p>
      <w:pPr>
        <w:spacing w:after="0" w:line="131" w:lineRule="exact"/>
        <w:rPr>
          <w:sz w:val="20"/>
          <w:szCs w:val="20"/>
          <w:color w:val="auto"/>
        </w:rPr>
      </w:pPr>
    </w:p>
    <w:p>
      <w:pPr>
        <w:ind w:left="980" w:hanging="432"/>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In the case of a distribution of securities or property other than those described above, the depositary may either</w:t>
      </w:r>
    </w:p>
    <w:p>
      <w:pPr>
        <w:spacing w:after="0" w:line="34" w:lineRule="exact"/>
        <w:rPr>
          <w:rFonts w:ascii="Arial" w:cs="Arial" w:eastAsia="Arial" w:hAnsi="Arial"/>
          <w:sz w:val="17"/>
          <w:szCs w:val="17"/>
          <w:color w:val="auto"/>
        </w:rPr>
      </w:pPr>
    </w:p>
    <w:p>
      <w:pPr>
        <w:ind w:left="980" w:right="60"/>
        <w:spacing w:after="0" w:line="255" w:lineRule="auto"/>
        <w:rPr>
          <w:rFonts w:ascii="Arial" w:cs="Arial" w:eastAsia="Arial" w:hAnsi="Arial"/>
          <w:sz w:val="17"/>
          <w:szCs w:val="17"/>
          <w:color w:val="auto"/>
        </w:rPr>
      </w:pPr>
      <w:r>
        <w:rPr>
          <w:rFonts w:ascii="Arial" w:cs="Arial" w:eastAsia="Arial" w:hAnsi="Arial"/>
          <w:sz w:val="18"/>
          <w:szCs w:val="18"/>
          <w:color w:val="auto"/>
        </w:rPr>
        <w:t>(i)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9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is not responsible if it fails to determine any distribution or action that is lawful or reasonably practicable.</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w:t>
      </w:r>
      <w:r>
        <w:rPr>
          <w:rFonts w:ascii="Arial" w:cs="Arial" w:eastAsia="Arial" w:hAnsi="Arial"/>
          <w:sz w:val="18"/>
          <w:szCs w:val="18"/>
          <w:i w:val="1"/>
          <w:iCs w:val="1"/>
          <w:color w:val="auto"/>
        </w:rPr>
        <w:t>https://www.adr.com/Investors/FindOutAboutDRs</w:t>
      </w:r>
      <w:r>
        <w:rPr>
          <w:rFonts w:ascii="Arial" w:cs="Arial" w:eastAsia="Arial" w:hAnsi="Arial"/>
          <w:sz w:val="18"/>
          <w:szCs w:val="18"/>
          <w:color w:val="auto"/>
        </w:rPr>
        <w:t>, the location and contents of which the depositary shall be solely responsible for.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Deposit, Withdrawal and Cancellation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How does the depositary issue ADSs?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Shares deposited with the custodian must be accompanied by certain delivery documentation and shall, at the time of such deposit, be registered in the name of JPMorgan Chase Bank, N.A., as depositary for the benefit of holders of ADRs or in such other name as the depositary shall direct. In the case of the ADSs to be issued under this prospectus, we will arrange with the underwriters named herein to deposit such shares.</w:t>
      </w:r>
    </w:p>
    <w:p>
      <w:pPr>
        <w:spacing w:after="0" w:line="18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How do ADR holders cancel an ADS and obtain deposited securities?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80" w:right="440" w:hanging="432"/>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Record Dates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subject to the provisions of the deposit agreement.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How do I vote?</w:t>
      </w:r>
    </w:p>
    <w:p>
      <w:pPr>
        <w:spacing w:after="0" w:line="117"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receiving notice from us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that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45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 the depositary in writing (and we agree to provide the depositary with such information promptly in writing) that (i) we do not wish such proxy to be given, (ii) substantial opposition exists with respect to any agenda item for which the proxy would be given or (iii) the agenda item in question, if approved, would materially or adversely affect the rights of holders of shares and</w:t>
      </w:r>
    </w:p>
    <w:p>
      <w:pPr>
        <w:ind w:left="120" w:hanging="4"/>
        <w:spacing w:after="0" w:line="292" w:lineRule="auto"/>
        <w:tabs>
          <w:tab w:leader="none" w:pos="3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unless, with respect to such meeting, the depositary has been provided with an opinion of our Cayman Islands counsel as agreed with such counsel, in form and substance satisfactory to the depositary, to the effect that (a) the granting of such discretionary proxy does not subject the depositary to any reporting obligations in the Cayman Islands solely by reason of grant, (b) the granting of such proxy will not result in a violation of Cayman Islands law, rule, regulation or permit applicable to our company and (c) any ruling given in accordance with the deposit agreement in respect of the voting arrangement and deemed instruction as contemplated under the deposit agreement will be given effect by the courts of the Cayman Islands.</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8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have advised the depositary that under the laws of the Cayman Islands and our constituent documents, each as in effect as of the date of the deposit agreement, voting at any meeting of shareholders is by show of hands unless a poll is (before or on the declaration of the results of the show of hands) demanded by the chairman or one or more shareholders present in person or by proxy entitled to vote.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9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Reports and Other Communications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Will ADR holders be able to view our reports?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Further, we are subject to periodic reporting and other informational requirements of the Securities Exchange Act of 1934, or the Exchange Act, as applicable to foreign private issuers and, accordingly, file certain reports with the SEC. All information filed with the SEC can be obtained over the internet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surrendering ADSs for withdrawal of deposited securities or whose ADRs are canceled or reduced for any other reason, US$5.00 for each 100 ADSs (or any portion thereof) issued, delivered, reduced, canceled or surrendered, as the case may be. The depositary may sell (by public or private sale) sufficient securities and property received in respect of a share distribution, rights and/or other distribution prior to such deposit to pay such charge.</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ADRs or the deposited securities or a distribution of ADSs), whichever is applicable:</w:t>
      </w:r>
    </w:p>
    <w:p>
      <w:pPr>
        <w:spacing w:after="0" w:line="89" w:lineRule="exact"/>
        <w:rPr>
          <w:sz w:val="20"/>
          <w:szCs w:val="20"/>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80" w:right="240" w:hanging="432"/>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aggregate fee of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980" w:right="100" w:hanging="432"/>
        <w:spacing w:after="0" w:line="25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fee for reimbursement of such fees, charges and expenses as are incurred by the depositary and/or any of the depositary’s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7" w:lineRule="exact"/>
        <w:rPr>
          <w:rFonts w:ascii="Arial" w:cs="Arial" w:eastAsia="Arial" w:hAnsi="Arial"/>
          <w:sz w:val="18"/>
          <w:szCs w:val="18"/>
          <w:color w:val="auto"/>
        </w:rPr>
      </w:pPr>
    </w:p>
    <w:p>
      <w:pPr>
        <w:ind w:left="980" w:right="20" w:hanging="432"/>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80" w:right="22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SWIFT, 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980" w:right="280" w:hanging="432"/>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shall deduct out of such foreign currency the fees, expenses and other charges charged by it and/or its agent (which may be a division, branch or affiliate) so appointed in connection with such conversion; and</w:t>
      </w:r>
    </w:p>
    <w:p>
      <w:pPr>
        <w:spacing w:after="0" w:line="89"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JPMorgan Chase Bank, N.A. and/or its agent may act as principal for such conversion of foreign currency.</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 Recapitalizations and Mergers</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5540" w:right="3640" w:hanging="4992"/>
        <w:spacing w:after="0" w:line="449" w:lineRule="auto"/>
        <w:tabs>
          <w:tab w:leader="none" w:pos="9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 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How may the deposit agreement be amended?</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How may the deposit agreement be terminated?</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w:t>
      </w:r>
    </w:p>
    <w:p>
      <w:pPr>
        <w:ind w:left="120" w:hanging="4"/>
        <w:spacing w:after="0" w:line="284" w:lineRule="auto"/>
        <w:tabs>
          <w:tab w:leader="none" w:pos="3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on Obligations and Liability to ADR 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Prior to the issue, registration, registration of transfer, split-up, combination, or cancelation of any ADRs, or the delivery of any distribution in respect thereof, and from time to time in the case of the production of proofs as described below, we or the depositary or its custodian may require:</w:t>
      </w:r>
    </w:p>
    <w:p>
      <w:pPr>
        <w:spacing w:after="0" w:line="29" w:lineRule="exact"/>
        <w:rPr>
          <w:sz w:val="20"/>
          <w:szCs w:val="20"/>
          <w:color w:val="auto"/>
        </w:rPr>
      </w:pPr>
    </w:p>
    <w:p>
      <w:pPr>
        <w:ind w:left="980" w:right="80" w:hanging="432"/>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9" w:lineRule="exact"/>
        <w:rPr>
          <w:rFonts w:ascii="Arial" w:cs="Arial" w:eastAsia="Arial" w:hAnsi="Arial"/>
          <w:sz w:val="18"/>
          <w:szCs w:val="18"/>
          <w:color w:val="auto"/>
        </w:rPr>
      </w:pPr>
    </w:p>
    <w:p>
      <w:pPr>
        <w:ind w:left="980" w:right="40" w:hanging="432"/>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Neither we nor the depositary nor any such agent will be liable if:</w:t>
      </w:r>
    </w:p>
    <w:p>
      <w:pPr>
        <w:spacing w:after="0" w:line="89" w:lineRule="exact"/>
        <w:rPr>
          <w:sz w:val="20"/>
          <w:szCs w:val="20"/>
          <w:color w:val="auto"/>
        </w:rPr>
      </w:pPr>
    </w:p>
    <w:p>
      <w:pPr>
        <w:ind w:left="980" w:right="40" w:hanging="432"/>
        <w:spacing w:after="0" w:line="271"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other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3" w:lineRule="exact"/>
        <w:rPr>
          <w:rFonts w:ascii="Arial" w:cs="Arial" w:eastAsia="Arial" w:hAnsi="Arial"/>
          <w:sz w:val="17"/>
          <w:szCs w:val="17"/>
          <w:color w:val="auto"/>
        </w:rPr>
      </w:pPr>
    </w:p>
    <w:p>
      <w:pPr>
        <w:ind w:left="980" w:right="260" w:hanging="432"/>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30" w:lineRule="exact"/>
        <w:rPr>
          <w:rFonts w:ascii="Arial" w:cs="Arial" w:eastAsia="Arial" w:hAnsi="Arial"/>
          <w:sz w:val="18"/>
          <w:szCs w:val="18"/>
          <w:color w:val="auto"/>
        </w:rPr>
      </w:pPr>
    </w:p>
    <w:p>
      <w:pPr>
        <w:ind w:left="980" w:right="120" w:hanging="432"/>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20" w:hanging="432"/>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therein on account of their ownership of ADRs or ADSs.</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and its agents may own and deal in any class of securities of our company and affiliates and in ADRs.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Disclosure of Interest in ADSs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cancelation and withdrawal of the deposited securities so as to permit us to deal with you directly as a holder of shares and, by holding an ADS or an interest therein, you will be agreeing to comply with such instructions.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Books of Depositary</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us solely in order to enable us to comply with applicable law.</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Appointment</w:t>
      </w:r>
    </w:p>
    <w:p>
      <w:pPr>
        <w:spacing w:after="0" w:line="117"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52" w:lineRule="exact"/>
        <w:rPr>
          <w:sz w:val="20"/>
          <w:szCs w:val="20"/>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80" w:right="20" w:hanging="432"/>
        <w:spacing w:after="0" w:line="25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Governing Law and Jurisdiction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7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320" w:top="459"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The following is a summary of certain general terms and provisions of the debt securities and the indenture, but they are not complete and are subject to, and are qualified in their entirety by reference to, all of the provisions of the indenture, which has been filed as an exhibit to the registration statement of which this prospectus is a part, including the definitions of specified terms used in the indenture, and to the Trust Indenture Act of 1939, as amended, or the “Trust Indenture Act”. The particular terms of the debt securities offered by any prospectus supplement and the extent these general provisions may apply to the debt securities will be described in the applicable prospectus supplement. The terms of the debt securities will include those set forth in the indenture, any related documents and those made a part of the indenture by the Trust Indenture Act. You should read the summary below, the applicable prospectus supplement and the provisions of the indenture and any related documents before investing in our debt securities.</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prospectus supplement relating to any series of debt securities that we may offer will contain the specific terms of the debt securities. These terms may include the following:</w:t>
      </w:r>
    </w:p>
    <w:p>
      <w:pPr>
        <w:spacing w:after="0" w:line="76" w:lineRule="exact"/>
        <w:rPr>
          <w:sz w:val="20"/>
          <w:szCs w:val="20"/>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and any limit on the aggregate principal amount of the debt securities;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will be secured or unsecured;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 and, if subordinated, the terms of such subordination;</w:t>
      </w:r>
    </w:p>
    <w:p>
      <w:pPr>
        <w:spacing w:after="0" w:line="130"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or exchangeable for other securities and, if so, the terms and conditions upon which such securities will be so convertible or exchangeable;</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percentage or percentages of principal amount at which such debt securities will be issued;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rate(s) or the method for determining the interest rate(s);</w:t>
      </w:r>
    </w:p>
    <w:p>
      <w:pPr>
        <w:spacing w:after="0" w:line="130"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record dates for the determination of holders to whom interest is payable or the method for determining such dates;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the debt securities may be issued, the maturity date and other dates of payment of principal;</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authorized denominations if other than denominations of $2,000 and multiples of $1,000 in excess thereof;</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debt securities will be issued;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such debt securities will be issued in whole or in part in the form of one or more global securities;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identity of the depositary for global securities;</w:t>
      </w:r>
    </w:p>
    <w:p>
      <w:pPr>
        <w:spacing w:after="0" w:line="130" w:lineRule="exact"/>
        <w:rPr>
          <w:rFonts w:ascii="Arial" w:cs="Arial" w:eastAsia="Arial" w:hAnsi="Arial"/>
          <w:sz w:val="18"/>
          <w:szCs w:val="18"/>
          <w:color w:val="auto"/>
        </w:rPr>
      </w:pPr>
    </w:p>
    <w:p>
      <w:pPr>
        <w:ind w:left="980" w:right="160" w:hanging="432"/>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75" w:lineRule="exact"/>
        <w:rPr>
          <w:rFonts w:ascii="Arial" w:cs="Arial" w:eastAsia="Arial" w:hAnsi="Arial"/>
          <w:sz w:val="18"/>
          <w:szCs w:val="18"/>
          <w:color w:val="auto"/>
        </w:rPr>
      </w:pPr>
    </w:p>
    <w:p>
      <w:pPr>
        <w:ind w:left="980" w:right="220" w:hanging="432"/>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for the defeasance of the particular debt securities being issued in whole or in part;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satisfaction and discharge;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debt securities;</w:t>
      </w:r>
    </w:p>
    <w:p>
      <w:pPr>
        <w:spacing w:after="0" w:line="130" w:lineRule="exact"/>
        <w:rPr>
          <w:rFonts w:ascii="Arial" w:cs="Arial" w:eastAsia="Arial" w:hAnsi="Arial"/>
          <w:sz w:val="18"/>
          <w:szCs w:val="18"/>
          <w:color w:val="auto"/>
        </w:rPr>
      </w:pPr>
    </w:p>
    <w:p>
      <w:pPr>
        <w:ind w:left="980" w:right="22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such debt securities will be payable;</w:t>
      </w:r>
    </w:p>
    <w:p>
      <w:pPr>
        <w:spacing w:after="0" w:line="75"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the purchaser of the debt securities can select the payment currency;</w:t>
      </w:r>
    </w:p>
    <w:p>
      <w:pPr>
        <w:spacing w:after="0" w:line="75" w:lineRule="exact"/>
        <w:rPr>
          <w:rFonts w:ascii="Arial" w:cs="Arial" w:eastAsia="Arial" w:hAnsi="Arial"/>
          <w:sz w:val="18"/>
          <w:szCs w:val="18"/>
          <w:color w:val="auto"/>
        </w:rPr>
      </w:pPr>
    </w:p>
    <w:p>
      <w:pPr>
        <w:ind w:left="980" w:right="32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securities exchange(s) or automated quotation system(s) on which the securities will be listed or admitted to trading, as applicable, if any;</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130"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w:t>
      </w:r>
    </w:p>
    <w:p>
      <w:pPr>
        <w:spacing w:after="0" w:line="75" w:lineRule="exact"/>
        <w:rPr>
          <w:rFonts w:ascii="Arial" w:cs="Arial" w:eastAsia="Arial" w:hAnsi="Arial"/>
          <w:sz w:val="18"/>
          <w:szCs w:val="18"/>
          <w:color w:val="auto"/>
        </w:rPr>
      </w:pPr>
    </w:p>
    <w:p>
      <w:pPr>
        <w:ind w:left="980" w:right="8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or places where we may pay principal, premium, if any, and interest and where holders may present the debt securities for registration of transfer, exchange or conversion;</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or places where notices and demands relating to the debt securities and the indentures may be made;</w:t>
      </w:r>
    </w:p>
    <w:p>
      <w:pPr>
        <w:spacing w:after="0" w:line="130" w:lineRule="exact"/>
        <w:rPr>
          <w:rFonts w:ascii="Arial" w:cs="Arial" w:eastAsia="Arial" w:hAnsi="Arial"/>
          <w:sz w:val="18"/>
          <w:szCs w:val="18"/>
          <w:color w:val="auto"/>
        </w:rPr>
      </w:pPr>
    </w:p>
    <w:p>
      <w:pPr>
        <w:ind w:left="980" w:right="56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principal amount of the debt securities, the portion of the principal amount of the debt securities that is payable upon declaration of acceleration of maturity;</w:t>
      </w:r>
    </w:p>
    <w:p>
      <w:pPr>
        <w:spacing w:after="0" w:line="75" w:lineRule="exact"/>
        <w:rPr>
          <w:rFonts w:ascii="Arial" w:cs="Arial" w:eastAsia="Arial" w:hAnsi="Arial"/>
          <w:sz w:val="18"/>
          <w:szCs w:val="18"/>
          <w:color w:val="auto"/>
        </w:rPr>
      </w:pPr>
    </w:p>
    <w:p>
      <w:pPr>
        <w:ind w:left="980" w:right="22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index or formula used to determine the amount of payments of principal of, premium (if any) or interest on the debt securities and the method of determining these amounts;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compensation and reimbursement of the trustee;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of the debt securities upon the occurrence of specified events;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may sell the debt securities, including original issue discount securities, at par or at greater than de minimis discount below their stated principal amount. Unless we inform you otherwise in a prospectus supplement, we may issue additional debt securities of a particular series without the consent of the holders of the debt securities of such series outstanding at the time of issuance. Any such additional debt securities, together with all other outstanding debt securities of that series, will constitute a single series of debt securities under the indenture. Such additional debt securities will have the same terms and conditions as the applicable series of debt securities in all respects (or in all respects except for the issue date, the issue price or the first payment of interest), and will vote together as one class on all matters with respect to such series of debt securities. We shall not issue any additional debt securities with the same CUSIP, ISIN or other identifying number as outstanding debt securities issued hereunder unless the additional debt securities are fungible with such outstanding debt securities for U.S. federal income tax purposes. Unless we inform you otherwise in the applicable prospectus supplement, the debt securities will not be listed on any securities exchange.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debt securities will be issued in fully registered form without interest coupons and, unless otherwise indicated in the applicable prospectus supplement, in minimum denominations of US$2,000 and integral multiples of US$1,000 in excess thereof.</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entity performing the role of maintaining the list of registered holders is called the “registrar.” The registrar acts as our agent for registering debt securities in the names of holders and transferring registered debt securities. You may exchange or transfer your registered debt securities at the specified office of the registrar. We may also arrange for additional registrars, and may change registrars. We may also choose to act as our own registrar.</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You will not be required to pay a service charge for any registration of transfer or exchange of debt securities, but you may be required to pay any tax or other governmental charge associated with the registration of transfer or exchange. The registration of transfer or exchange of a registered debt security will only be made if you have duly endorsed the debt security or provided the registrar with a written instrument of transfer satisfactory in form to the registrar.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If your debt securities are in definitive registered form, we will pay interest to you if you are listed in the registrar’s records as a direct holder at the close of business on a particular day in advance of each due date for interest, even if you no longer own the debt securities on the interest due date. That particular day is called the “record date” and will be stated in the applicable prospectus supplement.</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will pay interest, principal, additional amounts and any other money due on global registered debt securities pursuant to the applicable procedures of the depositary or, if the debt securities are not in global form, at offices maintained for that purpose in New York, New York. These offices are called “paying agents.” We may also choose to pay interest by mailing checks. We may also arrange for additional payment agents, and may change these agents, including our use of the trustee’s corporate trust office. We may also choose to act as our own paying agent.</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Regardless of who acts as paying agent, all money that we pay as principal, premium or interest to a paying agent, or then held by us in trust, that remains unclaimed at the end of two years after the amount is due to direct holders will be repaid to us, or if then held by us, discharged from trust. After that two-year period, direct holders may look only to us for payment and not to the trustee, any other paying agent or anyone else.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Street name and other indirect holders should consult their banks or brokers for information on how they will receive payments.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All payments of principal, premium and interest made by or on behalf of us in respect of the debt securities of each series will be made without withholding or deduction for, or on account of, any present or future taxes, duties, assessments or governmental charges of whatever nature (“Taxes”) imposed or levied by or within the British Virgin Islands, Cayman Islands, Hong Kong, the PRC or any jurisdiction where we or our paying agent are otherwise considered by a taxing authority to be a resident for tax purposes (in each case, including any political subdivision or any authority therein or thereof having power to tax) (the “Relevant Jurisdiction”), unless such withholding or deduction of such Taxes is required by law. If we are required to make such withholding or deduction, we will pay such additional amounts (“Additional Amounts”) as will result in receipt by each holder of any debt securities of such amounts as would have been received by such holder had no such withholding or deduction of such Taxes been required, except that no such Additional Amounts shall be payable:</w:t>
      </w:r>
    </w:p>
    <w:p>
      <w:pPr>
        <w:spacing w:after="0" w:line="178" w:lineRule="exact"/>
        <w:rPr>
          <w:sz w:val="20"/>
          <w:szCs w:val="20"/>
          <w:color w:val="auto"/>
        </w:rPr>
      </w:pPr>
    </w:p>
    <w:p>
      <w:pPr>
        <w:ind w:left="120" w:right="100" w:firstLine="436"/>
        <w:spacing w:after="0" w:line="277" w:lineRule="auto"/>
        <w:tabs>
          <w:tab w:leader="none" w:pos="7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respect of any such Taxes that would not have been imposed, deducted or withheld but for the existence of any connection (whether present or former) between the holder or beneficial owner of a debt security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and the Relevant Jurisdiction other than merely holding such debt security or receiving principal, premium (if any) or interest in respect thereof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spacing w:after="0" w:line="149" w:lineRule="exact"/>
        <w:rPr>
          <w:sz w:val="20"/>
          <w:szCs w:val="20"/>
          <w:color w:val="auto"/>
        </w:rPr>
      </w:pPr>
    </w:p>
    <w:p>
      <w:pPr>
        <w:jc w:val="both"/>
        <w:ind w:left="120" w:right="180" w:firstLine="436"/>
        <w:spacing w:after="0" w:line="259" w:lineRule="auto"/>
        <w:tabs>
          <w:tab w:leader="none" w:pos="8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any debt security presented for payment (where presentation is required) more than 30 days after the relevant date, except to the extent that the holder thereof would have been entitled to such Additional Amounts on presenting the same for payment on the last day of such 30-day period. For this purpose, the “relevant date” in relation to any debt security means the later of (a) the due date for such payment or (b) the date such payment was made or duly provided for;</w:t>
      </w:r>
    </w:p>
    <w:p>
      <w:pPr>
        <w:spacing w:after="0" w:line="186" w:lineRule="exact"/>
        <w:rPr>
          <w:rFonts w:ascii="Arial" w:cs="Arial" w:eastAsia="Arial" w:hAnsi="Arial"/>
          <w:sz w:val="18"/>
          <w:szCs w:val="18"/>
          <w:color w:val="auto"/>
        </w:rPr>
      </w:pPr>
    </w:p>
    <w:p>
      <w:pPr>
        <w:ind w:left="120" w:right="60" w:firstLine="436"/>
        <w:spacing w:after="0" w:line="25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any Taxes that would not have been imposed, deducted or withheld but for a failure of the holder or beneficial owner of a debt security to comply with a timely request by us addressed to the holder or beneficial owner to provide information concerning such holder’s or beneficial owner’s nationality, residence, identity or connection with any Relevant Jurisdiction, if and to the extent that due and timely compliance with such request is required under the tax laws of such jurisdiction in order to reduce or eliminate any withholding or deduction as to which Additional Amounts would have otherwise been payable to such holder;</w:t>
      </w:r>
    </w:p>
    <w:p>
      <w:pPr>
        <w:spacing w:after="0" w:line="187" w:lineRule="exact"/>
        <w:rPr>
          <w:rFonts w:ascii="Arial" w:cs="Arial" w:eastAsia="Arial" w:hAnsi="Arial"/>
          <w:sz w:val="18"/>
          <w:szCs w:val="18"/>
          <w:color w:val="auto"/>
        </w:rPr>
      </w:pPr>
    </w:p>
    <w:p>
      <w:pPr>
        <w:ind w:left="120" w:right="340" w:firstLine="436"/>
        <w:spacing w:after="0" w:line="277" w:lineRule="auto"/>
        <w:tabs>
          <w:tab w:leader="none" w:pos="8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any Taxes imposed as a result of a debt security being presented for payment (where presentation is required) in the Relevant Jurisdiction, unless such debt security could not have been presented for payment elsewhere;</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any estate, inheritance, gift, sale, transfer, personal property or similar Taxes;</w:t>
      </w:r>
    </w:p>
    <w:p>
      <w:pPr>
        <w:spacing w:after="0" w:line="225" w:lineRule="exact"/>
        <w:rPr>
          <w:rFonts w:ascii="Arial" w:cs="Arial" w:eastAsia="Arial" w:hAnsi="Arial"/>
          <w:sz w:val="18"/>
          <w:szCs w:val="18"/>
          <w:color w:val="auto"/>
        </w:rPr>
      </w:pPr>
    </w:p>
    <w:p>
      <w:pPr>
        <w:jc w:val="both"/>
        <w:ind w:left="120" w:right="80" w:firstLine="436"/>
        <w:spacing w:after="0" w:line="259" w:lineRule="auto"/>
        <w:tabs>
          <w:tab w:leader="none" w:pos="8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holder of a debt security that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6" w:lineRule="exact"/>
        <w:rPr>
          <w:rFonts w:ascii="Arial" w:cs="Arial" w:eastAsia="Arial" w:hAnsi="Arial"/>
          <w:sz w:val="18"/>
          <w:szCs w:val="18"/>
          <w:color w:val="auto"/>
        </w:rPr>
      </w:pPr>
    </w:p>
    <w:p>
      <w:pPr>
        <w:ind w:left="120" w:right="200" w:firstLine="436"/>
        <w:spacing w:after="0" w:line="286" w:lineRule="auto"/>
        <w:tabs>
          <w:tab w:leader="none" w:pos="9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respect to any withholding or deduction that is imposed in connection with Sections 1471-1474 of the Internal Revenue Code of 1986, as amended, and U.S. Treasury regulations thereunder (“FATCA”), any intergovernmental agreement between the United States and any other jurisdiction implementing or relating to FATCA or any non-U.S. law, regulation or guidance enacted or issued with respect thereto;</w:t>
      </w:r>
    </w:p>
    <w:p>
      <w:pPr>
        <w:spacing w:after="0" w:line="165" w:lineRule="exact"/>
        <w:rPr>
          <w:rFonts w:ascii="Arial" w:cs="Arial" w:eastAsia="Arial" w:hAnsi="Arial"/>
          <w:sz w:val="17"/>
          <w:szCs w:val="17"/>
          <w:color w:val="auto"/>
        </w:rPr>
      </w:pPr>
    </w:p>
    <w:p>
      <w:pPr>
        <w:ind w:left="960" w:hanging="404"/>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such Taxes payable otherwise than by deduction or withholding from payments under or with respect to any debt security; or</w:t>
      </w:r>
    </w:p>
    <w:p>
      <w:pPr>
        <w:spacing w:after="0" w:line="236" w:lineRule="exact"/>
        <w:rPr>
          <w:rFonts w:ascii="Arial" w:cs="Arial" w:eastAsia="Arial" w:hAnsi="Arial"/>
          <w:sz w:val="17"/>
          <w:szCs w:val="17"/>
          <w:color w:val="auto"/>
        </w:rPr>
      </w:pPr>
    </w:p>
    <w:p>
      <w:pPr>
        <w:ind w:left="860" w:hanging="30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combination of Taxes referred to in the preceding items (i) through (viii) above.</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the event that any withholding or deduction for or on account of any Taxes is required and Additional Amounts are payable with respect thereto, at least 10 business days prior to each date of payment of principal of, premium (if any) or interest on the debt securities of any series, we will furnish to the trustee and the paying agent, if other than the trustee, an officers’ certificate specifying the amount required to be withheld or deducted on such payments to such holders, certifying that we shall pay such amounts required to be withheld to the appropriate governmental authority and certifying to the fact that the Additional Amounts will be payable and the amounts so payable to each holder, and that we will pay to the trustee or such paying agent the Additional Amounts required to be paid; provided that no such officers’ certificate will be required prior to any date of payment of principal of, premium (if any) or interest on such debt securities if there has been no change with respect to the matters set forth in a prior officers’ certificate. The trustee and each paying agent shall be entitled to rely on the fact that any officers’ certificate contemplated by this paragraph has not been furnished as evidence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of the fact that no withholding or deduction for or on account of any Taxes is required. We covenant to indemnify the trustee and any paying agent for and to hold them harmless against any loss, liability or reasonably incurred expense without fraudulent activity, gross negligence or willful misconduct on their part arising out of or in connection with actions taken or omitted by any of them in reliance on any such officers’ certificate furnished pursuant to this paragraph or on the fact that any officers’ certificate contemplated by this paragraph has not been furnished.</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there is mentioned, in any context, the payment of principal, premium or interest in respect of any debt security, such mention shall be deemed to include the payment of Additional Amounts provided for in the indenture, to the extent that, in such context, Additional Amounts are, were or would be payable in respect thereof pursuant to the indenture.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foregoing provisions shall apply in the same manner with respect to the jurisdiction in which any successor Person to us or its paying agent is organized or resident for tax purposes or any authority therein or thereof having the power to tax (a “Successor Jurisdiction”), substituting such Successor Jurisdiction for the Relevant Jurisdiction.</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obligation to make payments of Additional Amounts under the terms and conditions described above will survive any termination, defeasance or discharge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Redemption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Each series of debt securities may be redeemed at any time, at our option, in whole but not in part, upon written notice as described below, at a redemption price equal to 100% of the principal amount thereof, together with accrued and unpaid interest, if any, to, but not including, the date fixed for redemption, if (i) as a result of any change in, or amendment to, the laws or regulations of the Relevant Jurisdiction (or, in the case of Additional Amounts payable by a successor Person to us, the applicable Successor Jurisdiction), or any change in the official application or official interpretation of such laws or regulations, which change or amendment becomes effective on or after the issue date of the applicable series of debt securities (or, in the case of Additional Amounts payable by a successor Person to us, the date on which such successor Person to us became a successor to us pursuant to the applicable provisions of the indenture) (a “Tax Change”), we or any such successor Person to us is, or would be, obligated to pay Additional Amounts upon the next payment of principal, premium (if any) or interest in respect of such debt securities and (ii) such obligation cannot be avoided by us or any such successor Person to us taking reasonable measures available to it, provided that changing our or such successor Person’s jurisdiction is not a reasonable measure for purposes of this section.</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Prior to the giving of any notice of redemption of debt securities pursuant to the foregoing, we or any such successor Person to us shall deliver to the trustee (i) a notice of such redemption election, (ii) an opinion of external legal counsel or an opinion of an independent tax consultant to the effect that we or any such successor Person to us is, or would become, obligated to pay such Additional Amounts as the result of a Tax Change and (iii) an officers’ certificate from us or any such successor Person to us, stating that such amendment or change has occurred, describing the facts leading thereto and stating that such requirement cannot be avoided by us or any such successor Person to us taking reasonable measures available to it. The trustee shall be entitled to rely conclusively upon such certificate and opinion as sufficient evidence of the conditions precedent described above, in which event it shall be conclusive and binding on the relevant holders.</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Notice of redemption of debt securities as provided above shall be given to the holders not less than 30 nor more than 60 days prior to the date fixed for redemption; provided that no such notice of redemption shall be given earlier than 90 days prior to the earliest date on which we or any such successor Person to us would be required to pay Additional Amounts if a payment in respect of such debt securities was then due. Notice having been given, the debt securities of that series shall become due and payable on the date fixed for redemption and will be paid at the redemption price, together with accrued and unpaid interest, if any, to, but not including,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date fixed for redemption, at the place or places of payment and in the manner specified in that series of the debt securities. From and after the redemption date, if moneys for the redemption of such debt securities shall have been made available as provided in the indenture for redemption on the redemption date, the debt securities of such series shall cease to bear interest, and the only right of the holders of such debt securities shall be to receive payment of the redemption price and accrued and unpaid interest, if any, to, but not including, the date fixed for redemption.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Market Purchases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or any of our Controlled Entities may, in accordance with all applicable laws and regulations, at any time purchase the debt securities issued under the indenture in the open market or otherwise at any price, so long as such purchase does not otherwise violate the terms of the indenture. The debt securities so purchased, while held by or on behalf of us or any of our Controlled Entities, shall not be deemed to be outstanding for the purposes of determining whether the holders of the requisite principal amount of outstanding debt securities have given any request, demand, authorization, direction, notice, consent or waiver hereunder.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The indenture contains provisions permitting us and the trustee, without the consent of the holders of the applicable series of debt securities, to execute supplemental indentures for certain enumerated purposes in the indenture and, with the consent of the holders of not less than a majority in aggregate principal amount of the applicable series of debt securities then outstanding under the indenture, to add, change, eliminate or modify in any way the provisions of the indenture or any supplemental indentures or to change or modify in any manner the rights of the holders of such debt securities. We and the trustee may not, however, without the consent of each holder of the debt securities of the applicable series affected thereby:</w:t>
      </w:r>
    </w:p>
    <w:p>
      <w:pPr>
        <w:spacing w:after="0" w:line="161" w:lineRule="exact"/>
        <w:rPr>
          <w:sz w:val="20"/>
          <w:szCs w:val="20"/>
          <w:color w:val="auto"/>
        </w:rPr>
      </w:pPr>
    </w:p>
    <w:p>
      <w:pPr>
        <w:ind w:left="780" w:hanging="224"/>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of, payments of interest on or stated time for payment of interest on any debt security;</w:t>
      </w:r>
    </w:p>
    <w:p>
      <w:pPr>
        <w:spacing w:after="0" w:line="225" w:lineRule="exact"/>
        <w:rPr>
          <w:rFonts w:ascii="Arial" w:cs="Arial" w:eastAsia="Arial" w:hAnsi="Arial"/>
          <w:sz w:val="18"/>
          <w:szCs w:val="18"/>
          <w:color w:val="auto"/>
        </w:rPr>
      </w:pPr>
    </w:p>
    <w:p>
      <w:pPr>
        <w:ind w:left="880" w:hanging="3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any obligation of ours to pay Additional Amounts with respect to any debt security;</w:t>
      </w:r>
    </w:p>
    <w:p>
      <w:pPr>
        <w:spacing w:after="0" w:line="225" w:lineRule="exact"/>
        <w:rPr>
          <w:rFonts w:ascii="Arial" w:cs="Arial" w:eastAsia="Arial" w:hAnsi="Arial"/>
          <w:sz w:val="18"/>
          <w:szCs w:val="18"/>
          <w:color w:val="auto"/>
        </w:rPr>
      </w:pPr>
    </w:p>
    <w:p>
      <w:pPr>
        <w:ind w:left="860" w:hanging="30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currency of payment of the principal of, premium (if any) or interest on any debt security;</w:t>
      </w:r>
    </w:p>
    <w:p>
      <w:pPr>
        <w:spacing w:after="0" w:line="225" w:lineRule="exact"/>
        <w:rPr>
          <w:rFonts w:ascii="Arial" w:cs="Arial" w:eastAsia="Arial" w:hAnsi="Arial"/>
          <w:sz w:val="18"/>
          <w:szCs w:val="18"/>
          <w:color w:val="auto"/>
        </w:rPr>
      </w:pPr>
    </w:p>
    <w:p>
      <w:pPr>
        <w:ind w:left="120" w:right="220" w:firstLine="436"/>
        <w:spacing w:after="0" w:line="277"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the principal of an original issue discount security that would be due and payable upon a declaration of acceleration of the maturity thereof;</w:t>
      </w:r>
    </w:p>
    <w:p>
      <w:pPr>
        <w:spacing w:after="0" w:line="170" w:lineRule="exact"/>
        <w:rPr>
          <w:rFonts w:ascii="Arial" w:cs="Arial" w:eastAsia="Arial" w:hAnsi="Arial"/>
          <w:sz w:val="18"/>
          <w:szCs w:val="18"/>
          <w:color w:val="auto"/>
        </w:rPr>
      </w:pPr>
    </w:p>
    <w:p>
      <w:pPr>
        <w:ind w:left="860" w:hanging="30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with respect to any debt security;</w:t>
      </w:r>
    </w:p>
    <w:p>
      <w:pPr>
        <w:spacing w:after="0" w:line="225" w:lineRule="exact"/>
        <w:rPr>
          <w:rFonts w:ascii="Arial" w:cs="Arial" w:eastAsia="Arial" w:hAnsi="Arial"/>
          <w:sz w:val="18"/>
          <w:szCs w:val="18"/>
          <w:color w:val="auto"/>
        </w:rPr>
      </w:pPr>
    </w:p>
    <w:p>
      <w:pPr>
        <w:ind w:left="920" w:hanging="364"/>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debt securities necessary to modify or amend the indenture;</w:t>
      </w:r>
    </w:p>
    <w:p>
      <w:pPr>
        <w:spacing w:after="0" w:line="225" w:lineRule="exact"/>
        <w:rPr>
          <w:rFonts w:ascii="Arial" w:cs="Arial" w:eastAsia="Arial" w:hAnsi="Arial"/>
          <w:sz w:val="18"/>
          <w:szCs w:val="18"/>
          <w:color w:val="auto"/>
        </w:rPr>
      </w:pPr>
    </w:p>
    <w:p>
      <w:pPr>
        <w:ind w:left="120" w:firstLine="436"/>
        <w:spacing w:after="0" w:line="277" w:lineRule="auto"/>
        <w:tabs>
          <w:tab w:leader="none" w:pos="9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of the aggregate principal amount of outstanding debt securities of that series necessary for waiver of compliance with certain provisions of the indenture or for waiver of certain defaults;</w:t>
      </w:r>
    </w:p>
    <w:p>
      <w:pPr>
        <w:spacing w:after="0" w:line="170" w:lineRule="exact"/>
        <w:rPr>
          <w:rFonts w:ascii="Arial" w:cs="Arial" w:eastAsia="Arial" w:hAnsi="Arial"/>
          <w:sz w:val="18"/>
          <w:szCs w:val="18"/>
          <w:color w:val="auto"/>
        </w:rPr>
      </w:pPr>
    </w:p>
    <w:p>
      <w:pPr>
        <w:ind w:left="860" w:hanging="30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the provisions of the indenture with respect to modification and waiver;</w:t>
      </w:r>
    </w:p>
    <w:p>
      <w:pPr>
        <w:spacing w:after="0" w:line="225" w:lineRule="exact"/>
        <w:rPr>
          <w:rFonts w:ascii="Arial" w:cs="Arial" w:eastAsia="Arial" w:hAnsi="Arial"/>
          <w:sz w:val="18"/>
          <w:szCs w:val="18"/>
          <w:color w:val="auto"/>
        </w:rPr>
      </w:pPr>
    </w:p>
    <w:p>
      <w:pPr>
        <w:ind w:left="120" w:right="420" w:firstLine="436"/>
        <w:spacing w:after="0" w:line="277"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 change or modify any provision of the indenture or the related definition affecting the ranking of any series of debt securities in a manner which adversely affects the holders of such debt securities; or</w:t>
      </w:r>
    </w:p>
    <w:p>
      <w:pPr>
        <w:spacing w:after="0" w:line="170" w:lineRule="exact"/>
        <w:rPr>
          <w:rFonts w:ascii="Arial" w:cs="Arial" w:eastAsia="Arial" w:hAnsi="Arial"/>
          <w:sz w:val="18"/>
          <w:szCs w:val="18"/>
          <w:color w:val="auto"/>
        </w:rPr>
      </w:pPr>
    </w:p>
    <w:p>
      <w:pPr>
        <w:ind w:left="120" w:right="20" w:firstLine="436"/>
        <w:spacing w:after="0" w:line="263" w:lineRule="auto"/>
        <w:tabs>
          <w:tab w:leader="none" w:pos="8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the premium payable upon the redemption or repurchase of any series of debt securities or change the time at which any series of debt securities may be redeemed or repurchased as described above under “—Tax Redemption” or as described in the applicable prospectus supplement.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holders of not less than a majority in principal amount of the debt securities of any series then outstanding may on behalf of all holders of the debt securities of that series waive any existing or past Default or Event of Default and its consequences under the indenture, except a continuing Default or Event of Default (i) in the payment of principal of, premium (if any) or interest on (or Additional Amount payable in respect of), the debt securities of such series then outstanding, in which event the consent of all holders of the debt securities of such series then outstanding affected thereby is required, or (ii) in respect of a covenant or provision which under the indenture cannot be modified or amended without the consent of the holder of each debt security of such series then outstanding affected thereby. Any such waivers will be conclusive and binding on all holders of that series of debt securities, whether or not they have given consent to such waivers, and on all future holders of such debt securities, whether or not notation of such waivers is made upon such debt securities. Any instrument given by or on behalf of any holder of a debt security of that series in connection with any consent to any such waiver will be irrevocable once given and will be conclusive and binding on all subsequent holders of such debt security.</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Notwithstanding the foregoing, without the consent of any holder of the securities, we and the trustee may amend the indenture and the relevant debt securities to, among other things:</w:t>
      </w:r>
    </w:p>
    <w:p>
      <w:pPr>
        <w:spacing w:after="0" w:line="170" w:lineRule="exact"/>
        <w:rPr>
          <w:sz w:val="20"/>
          <w:szCs w:val="20"/>
          <w:color w:val="auto"/>
        </w:rPr>
      </w:pPr>
    </w:p>
    <w:p>
      <w:pPr>
        <w:ind w:left="120" w:right="380" w:firstLine="436"/>
        <w:spacing w:after="0" w:line="277" w:lineRule="auto"/>
        <w:tabs>
          <w:tab w:leader="none" w:pos="7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 any ambiguity, omission, defect or inconsistency contained in the indenture or in any supplemental indenture; provided, however, that such amendment does not materially and adversely affect the rights of holders;</w:t>
      </w:r>
    </w:p>
    <w:p>
      <w:pPr>
        <w:spacing w:after="0" w:line="170" w:lineRule="exact"/>
        <w:rPr>
          <w:rFonts w:ascii="Arial" w:cs="Arial" w:eastAsia="Arial" w:hAnsi="Arial"/>
          <w:sz w:val="18"/>
          <w:szCs w:val="18"/>
          <w:color w:val="auto"/>
        </w:rPr>
      </w:pPr>
    </w:p>
    <w:p>
      <w:pPr>
        <w:ind w:left="120" w:right="320" w:firstLine="436"/>
        <w:spacing w:after="0" w:line="342" w:lineRule="auto"/>
        <w:tabs>
          <w:tab w:leader="none" w:pos="8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evidence the succession of another corporation to the Company, or successive successions, and the assumption by such successor of the covenants and obligations of the Company contained in the debt securities of one or more series and in this indenture or any supplemental indenture;</w:t>
      </w:r>
    </w:p>
    <w:p>
      <w:pPr>
        <w:spacing w:after="0" w:line="123" w:lineRule="exact"/>
        <w:rPr>
          <w:rFonts w:ascii="Arial" w:cs="Arial" w:eastAsia="Arial" w:hAnsi="Arial"/>
          <w:sz w:val="16"/>
          <w:szCs w:val="16"/>
          <w:color w:val="auto"/>
        </w:rPr>
      </w:pPr>
    </w:p>
    <w:p>
      <w:pPr>
        <w:ind w:left="880" w:hanging="3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the rules of any applicable depositary;</w:t>
      </w:r>
    </w:p>
    <w:p>
      <w:pPr>
        <w:spacing w:after="0" w:line="225" w:lineRule="exact"/>
        <w:rPr>
          <w:rFonts w:ascii="Arial" w:cs="Arial" w:eastAsia="Arial" w:hAnsi="Arial"/>
          <w:sz w:val="18"/>
          <w:szCs w:val="18"/>
          <w:color w:val="auto"/>
        </w:rPr>
      </w:pPr>
    </w:p>
    <w:p>
      <w:pPr>
        <w:ind w:left="860" w:hanging="30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secure any series of debt securities;</w:t>
      </w:r>
    </w:p>
    <w:p>
      <w:pPr>
        <w:spacing w:after="0" w:line="225" w:lineRule="exact"/>
        <w:rPr>
          <w:rFonts w:ascii="Arial" w:cs="Arial" w:eastAsia="Arial" w:hAnsi="Arial"/>
          <w:sz w:val="18"/>
          <w:szCs w:val="18"/>
          <w:color w:val="auto"/>
        </w:rPr>
      </w:pPr>
    </w:p>
    <w:p>
      <w:pPr>
        <w:ind w:left="120" w:firstLine="436"/>
        <w:spacing w:after="0" w:line="257"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 to the covenants and agreements of the Company, to be observed thereafter and during the period, if any, in such supplemental indenture or indentures expressed, and to add Events of Default, in each case for the protection or benefit of the holders of all or any series of the debt securities (and if such covenants, agreements and Events of Default are to be for the benefit of fewer than all series of debt securities, stating that such covenants, agreements and Events of Default are expressly being included for the benefit of such series as shall be identified therein), or to surrender any right or power herein conferred upon the Company;</w:t>
      </w:r>
    </w:p>
    <w:p>
      <w:pPr>
        <w:spacing w:after="0" w:line="187" w:lineRule="exact"/>
        <w:rPr>
          <w:rFonts w:ascii="Arial" w:cs="Arial" w:eastAsia="Arial" w:hAnsi="Arial"/>
          <w:sz w:val="18"/>
          <w:szCs w:val="18"/>
          <w:color w:val="auto"/>
        </w:rPr>
      </w:pPr>
    </w:p>
    <w:p>
      <w:pPr>
        <w:ind w:left="120" w:right="180" w:firstLine="436"/>
        <w:spacing w:after="0" w:line="277" w:lineRule="auto"/>
        <w:tabs>
          <w:tab w:leader="none" w:pos="8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change in any series of debt securities that does not adversely affect the legal rights under the indenture of any holder of such debt securities in any material respect;</w:t>
      </w:r>
    </w:p>
    <w:p>
      <w:pPr>
        <w:spacing w:after="0" w:line="170" w:lineRule="exact"/>
        <w:rPr>
          <w:rFonts w:ascii="Arial" w:cs="Arial" w:eastAsia="Arial" w:hAnsi="Arial"/>
          <w:sz w:val="18"/>
          <w:szCs w:val="18"/>
          <w:color w:val="auto"/>
        </w:rPr>
      </w:pPr>
    </w:p>
    <w:p>
      <w:pPr>
        <w:ind w:left="120" w:right="220" w:firstLine="436"/>
        <w:spacing w:after="0" w:line="277" w:lineRule="auto"/>
        <w:tabs>
          <w:tab w:leader="none" w:pos="9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 and provide for the acceptance of an appointment under the indenture of a successor trustee; provided that the successor trustee is otherwise qualified and eligible to act as such under the terms thereof;</w:t>
      </w:r>
    </w:p>
    <w:p>
      <w:pPr>
        <w:spacing w:after="0" w:line="170" w:lineRule="exact"/>
        <w:rPr>
          <w:rFonts w:ascii="Arial" w:cs="Arial" w:eastAsia="Arial" w:hAnsi="Arial"/>
          <w:sz w:val="18"/>
          <w:szCs w:val="18"/>
          <w:color w:val="auto"/>
        </w:rPr>
      </w:pPr>
    </w:p>
    <w:p>
      <w:pPr>
        <w:ind w:left="120" w:right="280" w:firstLine="436"/>
        <w:spacing w:after="0" w:line="263" w:lineRule="auto"/>
        <w:tabs>
          <w:tab w:leader="none" w:pos="9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conform the text of the indenture or any series of the debt securities to any provision of this “Description of Debt Securities” to the extent that such provision in this prospectus was intended to be a verbatim recitation of a provision of the indenture or such series of the debt securities as evidenced by an officers’ certificate;</w:t>
      </w:r>
    </w:p>
    <w:p>
      <w:pPr>
        <w:spacing w:after="0" w:line="183" w:lineRule="exact"/>
        <w:rPr>
          <w:rFonts w:ascii="Arial" w:cs="Arial" w:eastAsia="Arial" w:hAnsi="Arial"/>
          <w:sz w:val="18"/>
          <w:szCs w:val="18"/>
          <w:color w:val="auto"/>
        </w:rPr>
      </w:pPr>
    </w:p>
    <w:p>
      <w:pPr>
        <w:ind w:left="120" w:right="60" w:firstLine="436"/>
        <w:spacing w:after="0" w:line="257" w:lineRule="auto"/>
        <w:tabs>
          <w:tab w:leader="none" w:pos="8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amendment to the provisions of the indenture relating to the transfer and legending of debt securities as permitted by the indenture, including, but not limited to, facilitating the issuance and administration of any series of the debt securities or, if incurred in compliance with the indenture, additional debt securities; provided, however, that (A) compliance with the indenture as so amended would not result in any series of the debt securities being transferred in violation of the Securities Act or any applicable securities law and (B) such amendment does not materially and adversely affect the rights of holders to transfer debt securities;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firstLine="436"/>
        <w:spacing w:after="0" w:line="263"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or eliminate any of the provisions of the indenture; provided that any such change or elimination shall become effective only when there is no outstanding debt security of any series created prior to the execution of such supplemental indenture that is entitled to the benefit of such provision and as to which such supplemental indenture would apply;</w:t>
      </w:r>
    </w:p>
    <w:p>
      <w:pPr>
        <w:spacing w:after="0" w:line="183" w:lineRule="exact"/>
        <w:rPr>
          <w:rFonts w:ascii="Arial" w:cs="Arial" w:eastAsia="Arial" w:hAnsi="Arial"/>
          <w:sz w:val="18"/>
          <w:szCs w:val="18"/>
          <w:color w:val="auto"/>
        </w:rPr>
      </w:pPr>
    </w:p>
    <w:p>
      <w:pPr>
        <w:ind w:left="860" w:hanging="304"/>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any amendment to the indenture necessary to qualify the indenture under the Trust Indenture Act;</w:t>
      </w:r>
    </w:p>
    <w:p>
      <w:pPr>
        <w:spacing w:after="0" w:line="225" w:lineRule="exact"/>
        <w:rPr>
          <w:rFonts w:ascii="Arial" w:cs="Arial" w:eastAsia="Arial" w:hAnsi="Arial"/>
          <w:sz w:val="18"/>
          <w:szCs w:val="18"/>
          <w:color w:val="auto"/>
        </w:rPr>
      </w:pPr>
    </w:p>
    <w:p>
      <w:pPr>
        <w:ind w:left="920" w:hanging="3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 guarantors or co-obligors with respect to any series of debt securities; and</w:t>
      </w:r>
    </w:p>
    <w:p>
      <w:pPr>
        <w:spacing w:after="0" w:line="225" w:lineRule="exact"/>
        <w:rPr>
          <w:rFonts w:ascii="Arial" w:cs="Arial" w:eastAsia="Arial" w:hAnsi="Arial"/>
          <w:sz w:val="18"/>
          <w:szCs w:val="18"/>
          <w:color w:val="auto"/>
        </w:rPr>
      </w:pPr>
    </w:p>
    <w:p>
      <w:pPr>
        <w:ind w:left="120" w:right="20" w:firstLine="436"/>
        <w:spacing w:after="0" w:line="259" w:lineRule="auto"/>
        <w:tabs>
          <w:tab w:leader="none" w:pos="9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the form and terms of debt securities of any series as permitted under the indenture, or to provide for the issuance of additional debt securities in accordance with the limitations set forth in the indenture, or to add to the conditions, limitations or restrictions on the authorized amount, terms or purposes of issue, authentication or delivery of the debt securities of any series, as herein set forth, or other conditions, limitations or restrictions thereafter to be observed.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supplement or waiver. It is sufficient if such consent approves the substance of the proposed amendment or supplement. A consent to any amendment, supplement or waiver under the indenture by any holder given in connection with a tender of such holder’s debt securities will not be rendered invalid by such tender. After an amendment, supplement or waiver under the indenture becomes effective, we are required to give to the holders a notice briefly describing such amendment, supplement or waiver. However, the failure to give such notice to all the holders, or any defect in the notice will not impair or affect the validity of the amendment, supplement or waiver.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indenture provides that we may not consolidate with or merge into any other Person in a transaction in which we are not the surviving entity, or convey, transfer or lease our properties and assets substantially as an entirety to, any Person unless:</w:t>
      </w:r>
    </w:p>
    <w:p>
      <w:pPr>
        <w:spacing w:after="0" w:line="170" w:lineRule="exact"/>
        <w:rPr>
          <w:sz w:val="20"/>
          <w:szCs w:val="20"/>
          <w:color w:val="auto"/>
        </w:rPr>
      </w:pPr>
    </w:p>
    <w:p>
      <w:pPr>
        <w:jc w:val="both"/>
        <w:ind w:left="120" w:right="20" w:firstLine="436"/>
        <w:spacing w:after="0" w:line="257" w:lineRule="auto"/>
        <w:tabs>
          <w:tab w:leader="none" w:pos="7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formed by such consolidation or into which we are merged or to whom we have conveyed, transferred or leased our properties and assets substantially as an entirety is a corporation, partnership, trust or other entity validly existing under the laws of the British Virgin Islands, Cayman Islands or Hong Kong and such Person expressly assumes by indentures supplemental to the indenture all of our obligations under the indenture and the debt securities issued under the indenture, including the obligation to pay Additional Amounts with respect to any jurisdiction in which it is organized or resident for tax purposes;</w:t>
      </w:r>
    </w:p>
    <w:p>
      <w:pPr>
        <w:spacing w:after="0" w:line="187" w:lineRule="exact"/>
        <w:rPr>
          <w:rFonts w:ascii="Arial" w:cs="Arial" w:eastAsia="Arial" w:hAnsi="Arial"/>
          <w:sz w:val="18"/>
          <w:szCs w:val="18"/>
          <w:color w:val="auto"/>
        </w:rPr>
      </w:pPr>
    </w:p>
    <w:p>
      <w:pPr>
        <w:ind w:left="120" w:firstLine="436"/>
        <w:spacing w:after="0" w:line="277" w:lineRule="auto"/>
        <w:tabs>
          <w:tab w:leader="none" w:pos="8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left="120" w:right="40" w:firstLine="436"/>
        <w:spacing w:after="0" w:line="263" w:lineRule="auto"/>
        <w:tabs>
          <w:tab w:leader="none" w:pos="8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external legal counsel, each stating that such consolidation, merger, conveyance, transfer or lease and such supplemental indentures comply with the indenture and that all conditions precedent therein provided for relating to such transaction have been complied with.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for Consent</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will not, and will not permit any of our Controlled Entities to, directly or indirectly, pay or cause to be paid any consideration to or for the benefit of any holder of debt securities of any series for or as an inducement to any consent, waiver or amendment of any of the terms or provisions of the indenture or the debt securities of such series unless such consideration is offered to be paid and is paid to all holders of the relevant series of debt securities that consent, waive or agree to amend in the time frame set forth in the solicitation documents relating to such consent, waiver or amendment.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Under the terms of the indenture, each of the following constitutes an Event of Default for a series of debt securities unless, as otherwise stated in the applicable prospectus supplement, it is either inapplicable to a particular series or it is specifically deleted or modified:</w:t>
      </w:r>
    </w:p>
    <w:p>
      <w:pPr>
        <w:spacing w:after="0" w:line="146" w:lineRule="exact"/>
        <w:rPr>
          <w:sz w:val="20"/>
          <w:szCs w:val="20"/>
          <w:color w:val="auto"/>
        </w:rPr>
      </w:pPr>
    </w:p>
    <w:p>
      <w:pPr>
        <w:ind w:left="120" w:right="40" w:firstLine="436"/>
        <w:spacing w:after="0" w:line="277" w:lineRule="auto"/>
        <w:tabs>
          <w:tab w:leader="none" w:pos="7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pay principal or premium in respect of any debt securities of that series by the due date for such payment (whether at Stated Maturity or upon acceleration, repurchase, redemption or otherwise);</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pay interest on any debt securities of that series within 30 days after the due date for such payment;</w:t>
      </w:r>
    </w:p>
    <w:p>
      <w:pPr>
        <w:spacing w:after="0" w:line="225" w:lineRule="exact"/>
        <w:rPr>
          <w:rFonts w:ascii="Arial" w:cs="Arial" w:eastAsia="Arial" w:hAnsi="Arial"/>
          <w:sz w:val="18"/>
          <w:szCs w:val="18"/>
          <w:color w:val="auto"/>
        </w:rPr>
      </w:pPr>
    </w:p>
    <w:p>
      <w:pPr>
        <w:ind w:left="880" w:hanging="3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default in the performance of or breach our obligations under the “—Consolidation, Merger and Sale of Assets” covenant;</w:t>
      </w:r>
    </w:p>
    <w:p>
      <w:pPr>
        <w:spacing w:after="0" w:line="225" w:lineRule="exact"/>
        <w:rPr>
          <w:rFonts w:ascii="Arial" w:cs="Arial" w:eastAsia="Arial" w:hAnsi="Arial"/>
          <w:sz w:val="18"/>
          <w:szCs w:val="18"/>
          <w:color w:val="auto"/>
        </w:rPr>
      </w:pPr>
    </w:p>
    <w:p>
      <w:pPr>
        <w:ind w:left="120" w:right="80" w:firstLine="436"/>
        <w:spacing w:after="0" w:line="263" w:lineRule="auto"/>
        <w:tabs>
          <w:tab w:leader="none" w:pos="8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default in the performance of or breach any covenant or agreement in the indenture or under the debt securities of that series (other than a default specified in clause (i), (ii) or (iii) above) and such default or breach continues for a period of 60 consecutive days after written notice by the trustee or the holders of 25% or more in aggregate principal amount of the debt securities of that series;</w:t>
      </w:r>
    </w:p>
    <w:p>
      <w:pPr>
        <w:spacing w:after="0" w:line="183" w:lineRule="exact"/>
        <w:rPr>
          <w:rFonts w:ascii="Arial" w:cs="Arial" w:eastAsia="Arial" w:hAnsi="Arial"/>
          <w:sz w:val="18"/>
          <w:szCs w:val="18"/>
          <w:color w:val="auto"/>
        </w:rPr>
      </w:pPr>
    </w:p>
    <w:p>
      <w:pPr>
        <w:ind w:left="120" w:firstLine="436"/>
        <w:spacing w:after="0" w:line="272" w:lineRule="auto"/>
        <w:tabs>
          <w:tab w:leader="none" w:pos="8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(1) there occurs with respect to any of our indebtedness or indebtedness of any of our “significant subsidiaries,” as defined in Article 1, Rule 1-02 of Regulation S-K, whether such indebtedness now exists or shall hereafter be created, (A) an event of default that has resulted in the holder thereof declaring the principal of such indebtedness to be due and payable prior to its stated maturity or (B) a failure to make a payment of principal, interest or premium when due (after giving effect to the expiration of any applicable grace period therefor, a “Payment Default”) and (2) the outstanding principal amount of such indebtedness, together with the outstanding principal amount of any other indebtedness of such Persons under which there has been a Payment Default or the maturity of which has been so accelerated, is equal to or exceeds US$60,000,000, and in each case, such indebtedness is not discharged, or such acceleration is not otherwise cured or rescinded, with 30 days;</w:t>
      </w:r>
    </w:p>
    <w:p>
      <w:pPr>
        <w:spacing w:after="0" w:line="177" w:lineRule="exact"/>
        <w:rPr>
          <w:rFonts w:ascii="Arial" w:cs="Arial" w:eastAsia="Arial" w:hAnsi="Arial"/>
          <w:sz w:val="17"/>
          <w:szCs w:val="17"/>
          <w:color w:val="auto"/>
        </w:rPr>
      </w:pPr>
    </w:p>
    <w:p>
      <w:pPr>
        <w:ind w:left="120" w:right="200" w:firstLine="436"/>
        <w:spacing w:after="0" w:line="275" w:lineRule="auto"/>
        <w:tabs>
          <w:tab w:leader="none" w:pos="865"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one or more final judgments or orders for the payment of money are rendered against us or any of our significant subsidiaries, as defined in Article 1, Rule 1-02 of Regulation S-K, and are not paid or discharged, and there is a period of 90 consecutive days following entry of the final judgment or order that causes the aggregate amount for all such final judgments or orders outstanding and not paid or discharged against all such Persons (net of any amounts that our insurance carriers have paid or agreed to pay with respect thereto under applicable policies) to exceed US$60,000,000, during which a stay of enforcement, by reason of a pending appeal or otherwise, is not in effect;</w:t>
      </w:r>
    </w:p>
    <w:p>
      <w:pPr>
        <w:spacing w:after="0" w:line="176" w:lineRule="exact"/>
        <w:rPr>
          <w:rFonts w:ascii="Arial" w:cs="Arial" w:eastAsia="Arial" w:hAnsi="Arial"/>
          <w:sz w:val="17"/>
          <w:szCs w:val="17"/>
          <w:color w:val="auto"/>
        </w:rPr>
      </w:pPr>
    </w:p>
    <w:p>
      <w:pPr>
        <w:ind w:left="120" w:right="20" w:firstLine="436"/>
        <w:spacing w:after="0" w:line="271" w:lineRule="auto"/>
        <w:tabs>
          <w:tab w:leader="none" w:pos="9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(i) a decree or order for relief in respect of us or any of our significant subsidiaries, as defined in Article 1, Rule 1-02 of Regulation S-K, in an involuntary case or proceeding under any applicable bankruptcy, insolvency or other similar law or (ii) a decree or order adjudging us or any of our significant subsidiaries bankrupt or insolvent, or approving as final and nonappealable a petition seeking reorganization, arrangement, adjustment, or composition of or in respect of us or any of our significant subsidiaries under any applicable bankruptcy, insolvency or other similar law, or appointing a custodian, receiver, liquidator, assignee, trustee, sequestrator, or other similar official of us or any of our significant subsidiaries or of any substantial part of their respective property, or ordering the winding up or liquidation of their respective affairs (or any similar relief granted under any foreign laws), and in any such case the continuance of any such decree or order for relief or any such other decree or order unstayed and in effect for a period of 90 consecutive calendar days;</w:t>
      </w:r>
    </w:p>
    <w:p>
      <w:pPr>
        <w:spacing w:after="0" w:line="178" w:lineRule="exact"/>
        <w:rPr>
          <w:rFonts w:ascii="Arial" w:cs="Arial" w:eastAsia="Arial" w:hAnsi="Arial"/>
          <w:sz w:val="17"/>
          <w:szCs w:val="17"/>
          <w:color w:val="auto"/>
        </w:rPr>
      </w:pPr>
    </w:p>
    <w:p>
      <w:pPr>
        <w:ind w:left="120" w:right="100" w:firstLine="436"/>
        <w:spacing w:after="0" w:line="277" w:lineRule="auto"/>
        <w:tabs>
          <w:tab w:leader="none" w:pos="9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commencement by us or any of our significant subsidiaries, as defined in Article 1, Rule 1-02 of Regulation S-K, of a voluntary case or proceeding under any applicable federal, state or foreign bankruptcy,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insolvency or other similar law or of any other case or proceeding to be adjudicated bankrupt or insolvent, or the consent by us or any significant subsidiary to the entry of a decree or order for relief in respect of us or any of our significant subsidiaries in an involuntary case or proceeding under any applicable bankruptcy, insolvency or other similar law or the commencement of any bankruptcy or insolvency case or proceeding against us or any significant subsidiary, or the filing by us or any significant subsidiaries of a petition or answer or consent seeking reorganization or relief with respect to us or any of our significant subsidiaries under any applicable bankruptcy, insolvency or other similar law, or the consent by us or any significant subsidiary to the filing of such petition or to the appointment of or taking possession by a custodian, receiver, liquidator, assignee, trustee, sequestrator, or other similar official of us or any of our significant subsidiaries or of any substantial part of their respective property pursuant to any such law, or the making by us or any of our significant subsidiaries of a general assignment for the benefit of creditors in respect of any indebtedness as a result of an inability to pay such indebtedness as it becomes due, or the admission by us or any of our significant subsidiaries in writing of our inability to pay our debts generally as they become due, or the taking of corporate action by us or any of our significant subsidiaries that resolves to commence any such action;</w:t>
      </w:r>
    </w:p>
    <w:p>
      <w:pPr>
        <w:spacing w:after="0" w:line="182" w:lineRule="exact"/>
        <w:rPr>
          <w:sz w:val="20"/>
          <w:szCs w:val="20"/>
          <w:color w:val="auto"/>
        </w:rPr>
      </w:pPr>
    </w:p>
    <w:p>
      <w:pPr>
        <w:ind w:left="120" w:right="20" w:firstLine="436"/>
        <w:spacing w:after="0" w:line="277" w:lineRule="auto"/>
        <w:tabs>
          <w:tab w:leader="none" w:pos="8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debt securities of that series or the indenture is or becomes or is claimed by us to be unenforceable, invalid or ceases to be in full force and effect otherwise than is permitted by the indenture; and</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described in the applicable prospectus supplement.</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However, a default under clause (iv) of the preceding paragraph will not constitute an Event of Default until the trustee or the holders of 25% in principal amount of the then outstanding debt securities of that series provide written notice to us of the default and we do not cure such default within the time specified in clause (iv) of the preceding paragraph after receipt of such notice.</w:t>
      </w:r>
    </w:p>
    <w:p>
      <w:pPr>
        <w:spacing w:after="0" w:line="184" w:lineRule="exact"/>
        <w:rPr>
          <w:sz w:val="20"/>
          <w:szCs w:val="20"/>
          <w:color w:val="auto"/>
        </w:rPr>
      </w:pPr>
    </w:p>
    <w:p>
      <w:pPr>
        <w:ind w:left="120" w:right="160" w:firstLine="440"/>
        <w:spacing w:after="0" w:line="285" w:lineRule="auto"/>
        <w:rPr>
          <w:sz w:val="20"/>
          <w:szCs w:val="20"/>
          <w:color w:val="auto"/>
        </w:rPr>
      </w:pPr>
      <w:r>
        <w:rPr>
          <w:rFonts w:ascii="Arial" w:cs="Arial" w:eastAsia="Arial" w:hAnsi="Arial"/>
          <w:sz w:val="16"/>
          <w:szCs w:val="16"/>
          <w:color w:val="auto"/>
        </w:rPr>
        <w:t>If an Event of Default (other than an Event of Default described in clauses (vii) and (viii) above) shall occur and be continuing, either the trustee or the holders of at least 25% in aggregate principal amount of the debt securities of that series then outstanding by written notice as provided in the indenture may declare the unpaid principal amount of such debt securities and any accrued and unpaid interest thereon (and any Additional Amount payable in respect thereof) to be due and payable immediately upon receipt of such notice. If an Event of Default in clause (v) above shall occur, the declaration of acceleration of the debt securities shall be automatically annulled if the default triggering such Event of Default pursuant to clause</w:t>
      </w:r>
    </w:p>
    <w:p>
      <w:pPr>
        <w:spacing w:after="0" w:line="2" w:lineRule="exact"/>
        <w:rPr>
          <w:sz w:val="20"/>
          <w:szCs w:val="20"/>
          <w:color w:val="auto"/>
        </w:rPr>
      </w:pPr>
    </w:p>
    <w:p>
      <w:pPr>
        <w:ind w:left="120" w:hanging="4"/>
        <w:spacing w:after="0" w:line="285" w:lineRule="auto"/>
        <w:tabs>
          <w:tab w:leader="none" w:pos="3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shall be remedied or cured by us or any of our significant subsidiaries, as defined in Article 1, Rule 1-02 of Regulation S-K, or waived by the holders of the relevant indebtedness within 30 days after the declaration of acceleration with respect thereto and if (1) the annulment of the acceleration of the debt securities of that series would not conflict with any judgment or decree of a court of competent jurisdiction and (2) all Events of Default, other than the non-payment of principal, premium (if any) or interest on the debt securities of that series that became due solely because of the acceleration of the debt securities of that series, have been cured or waived. If an Event of Default in clauses (vii) or (viii) above shall occur, the unpaid principal amount of all the debt securities then outstanding and any accrued and unpaid interest thereon will automatically, and without any declaration or other action by the trustee or any holder of such debt securities, become immediately due and payable. After a declaration of acceleration but before a judgment or decree for payment of the money due has been obtained by the trustee, the holders of at least a majority in aggregate principal amount of the debt securities of that series then outstanding may, under certain circumstances, waive all past defaults and rescind and annul such acceleration if (1) rescission would not conflict with any judgment or decree of a court of competent jurisdiction and (2) all Events of Default, other than the non-payment of principal, premium, if any, or interest on such debt securities that became due solely because of the acceleration of such debt securities, have been cured or waived. For information as to waiver of defaults, see “—Modification and Waiver.”</w:t>
      </w:r>
    </w:p>
    <w:p>
      <w:pPr>
        <w:spacing w:after="0" w:line="17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shall occur and be continuing, the trustee will be under no obligation to exercise any of the trusts or powers vested in it by the indenture at the request, order or direction of any of the holders of debt securities, unless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holders shall have offered to the trustee pre-funding, security and/or indemnity satisfactory to it against the costs, expenses and liabilities which may be incurred therein or thereby. Subject to certain provisions, including those requiring pre-funding, security and/or indemnification of the trustee, the holders of a majority in aggregate principal amount of the debt securities of a series then outstanding will have the right to direct the time, method and place of conducting any proceeding for any remedy available to the trustee or exercising any trust or power conferred on the trustee. No holder of any debt security of any series will have any right to institute any proceeding, judicial or otherwise, with respect to the indenture or the debt securities, or for the appointment of a receiver or a trustee, or for any other remedy thereunder, unless (i) such holder has previously given to the trustee written notice of a continuing Event of Default with respect to the debt securities of that series, (ii) the holders of at least 25% in aggregate principal amount of the debt securities of that series then outstanding have made written request to the trustee to institute such proceeding, (iii) such holder or holders have</w:t>
      </w:r>
    </w:p>
    <w:p>
      <w:pPr>
        <w:spacing w:after="0" w:line="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offered pre-funding, security and/or indemnity satisfactory to the trustee and (iv) the trustee has failed to institute such proceeding, and has not received from the holders of a majority in aggregate principal amount of the debt securities of that series then outstanding a direction inconsistent with such request, within 60 days after such notice, request and offer. However, such limitations do not apply to a suit instituted by a holder of a debt security for the enforcement of the right to receive payment of the principal of, premium (if any) or interest on such debt security on or after the applicable due date specified in such debt security.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indenture will provide that we may at our option and at any time elect to have all of our obligations discharged with respect to the outstanding debt securities of a series (“Legal Defeasance”) except for:</w:t>
      </w:r>
    </w:p>
    <w:p>
      <w:pPr>
        <w:spacing w:after="0" w:line="170" w:lineRule="exact"/>
        <w:rPr>
          <w:sz w:val="20"/>
          <w:szCs w:val="20"/>
          <w:color w:val="auto"/>
        </w:rPr>
      </w:pPr>
    </w:p>
    <w:p>
      <w:pPr>
        <w:ind w:left="120" w:right="20" w:firstLine="436"/>
        <w:spacing w:after="0" w:line="277" w:lineRule="auto"/>
        <w:tabs>
          <w:tab w:leader="none" w:pos="9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of holders of the debt securities of that series that are then outstanding to receive payments in respect of the principal of, or interest or premium on such debt securities when such payments are due from the trust referred to below;</w:t>
      </w:r>
    </w:p>
    <w:p>
      <w:pPr>
        <w:spacing w:after="0" w:line="170" w:lineRule="exact"/>
        <w:rPr>
          <w:rFonts w:ascii="Arial" w:cs="Arial" w:eastAsia="Arial" w:hAnsi="Arial"/>
          <w:sz w:val="18"/>
          <w:szCs w:val="18"/>
          <w:color w:val="auto"/>
        </w:rPr>
      </w:pPr>
    </w:p>
    <w:p>
      <w:pPr>
        <w:ind w:left="120" w:right="700" w:firstLine="436"/>
        <w:spacing w:after="0" w:line="342" w:lineRule="auto"/>
        <w:tabs>
          <w:tab w:leader="none" w:pos="95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that series concerning issuing temporary notes, registration of notes, mutilated, destroyed, lost or stolen notes and the maintenance of an office or agency for payment and money for security payments held in trust;</w:t>
      </w:r>
    </w:p>
    <w:p>
      <w:pPr>
        <w:spacing w:after="0" w:line="123" w:lineRule="exact"/>
        <w:rPr>
          <w:rFonts w:ascii="Arial" w:cs="Arial" w:eastAsia="Arial" w:hAnsi="Arial"/>
          <w:sz w:val="16"/>
          <w:szCs w:val="16"/>
          <w:color w:val="auto"/>
        </w:rPr>
      </w:pPr>
    </w:p>
    <w:p>
      <w:pPr>
        <w:ind w:left="120" w:right="660" w:firstLine="436"/>
        <w:spacing w:after="0" w:line="277" w:lineRule="auto"/>
        <w:tabs>
          <w:tab w:leader="none" w:pos="9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debt securities of that series, and our obligations in connection therewith; and</w:t>
      </w:r>
    </w:p>
    <w:p>
      <w:pPr>
        <w:spacing w:after="0" w:line="170" w:lineRule="exact"/>
        <w:rPr>
          <w:rFonts w:ascii="Arial" w:cs="Arial" w:eastAsia="Arial" w:hAnsi="Arial"/>
          <w:sz w:val="18"/>
          <w:szCs w:val="18"/>
          <w:color w:val="auto"/>
        </w:rPr>
      </w:pPr>
    </w:p>
    <w:p>
      <w:pPr>
        <w:ind w:left="940" w:hanging="384"/>
        <w:spacing w:after="0"/>
        <w:tabs>
          <w:tab w:leader="none" w:pos="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Legal Defeasance and Covenant Defeasance (as defined below) provisions of the indenture for the debt securities of that series.</w:t>
      </w:r>
    </w:p>
    <w:p>
      <w:pPr>
        <w:spacing w:after="0" w:line="23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indenture will provide that, we may, at our option and at any time, elect to have our obligations with respect to the outstanding debt securities of a series released with respect to certain covenants (including our obligations under the headings “Consolidation, Merger and Sale of Assets” and “Payments for Consents”) that are described in the indenture (“Covenant Defeasance”) and thereafter any omission to comply with those covenants will not constitute a Default or Event of Default. In the event Covenant Defeasance occurs, certain events (not including non-payment, bankruptcy, receivership, rehabilitation and insolvency events) described under the caption “—Events of Default” will no longer constitute an Event of Default.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will also provide that, in order to exercise either Legal Defeasance or Covenant Defeasance:</w:t>
      </w:r>
    </w:p>
    <w:p>
      <w:pPr>
        <w:spacing w:after="0" w:line="117" w:lineRule="exact"/>
        <w:rPr>
          <w:sz w:val="20"/>
          <w:szCs w:val="20"/>
          <w:color w:val="auto"/>
        </w:rPr>
      </w:pPr>
    </w:p>
    <w:p>
      <w:pPr>
        <w:ind w:left="560" w:right="180" w:firstLine="419"/>
        <w:spacing w:after="0" w:line="279" w:lineRule="auto"/>
        <w:tabs>
          <w:tab w:leader="none" w:pos="1373"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must irrevocably deposit with the trustee or the paying agent, in trust, for the benefit of the holders of all debt securities of that series subject to Legal Defeasance or Covenant Defeasance, cash in U.S. dollars, U.S. Government Obligation, or a combination of cash in U.S. dollars and U.S. Government Obligation, in amounts as will be sufficient, in the opinion of a nationally recognized investment bank, appraisal firm or firm of independent public accountants to pay the principal of, or interest and premium 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such notes that are then outstanding on the Stated Maturity or on the applicable redemption date, as the case may be, and we must specify whether such debt securities are being defeased to maturity or to a particular redemption date;</w:t>
      </w:r>
    </w:p>
    <w:p>
      <w:pPr>
        <w:spacing w:after="0" w:line="62" w:lineRule="exact"/>
        <w:rPr>
          <w:sz w:val="20"/>
          <w:szCs w:val="20"/>
          <w:color w:val="auto"/>
        </w:rPr>
      </w:pPr>
    </w:p>
    <w:p>
      <w:pPr>
        <w:ind w:left="560" w:firstLine="419"/>
        <w:spacing w:after="0" w:line="254" w:lineRule="auto"/>
        <w:tabs>
          <w:tab w:leader="none" w:pos="13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Legal Defeasance, we must deliver to the trustee an opinion of external legal counsel of recognized standing with respect to U.S. federal income tax matters that is acceptable to the trustee confirming that (a) we have received from, or there has been published by, the Internal Revenue Service a ruling or (b) since the date of the indenture, there has been a change in the applicable federal income tax law, in either case to the effect that, and based thereon such opinion of external legal counsel will confirm that, the beneficial owners of the then outstanding debt securities of that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6" w:lineRule="exact"/>
        <w:rPr>
          <w:rFonts w:ascii="Arial" w:cs="Arial" w:eastAsia="Arial" w:hAnsi="Arial"/>
          <w:sz w:val="18"/>
          <w:szCs w:val="18"/>
          <w:color w:val="auto"/>
        </w:rPr>
      </w:pPr>
    </w:p>
    <w:p>
      <w:pPr>
        <w:ind w:left="560" w:right="140" w:firstLine="419"/>
        <w:spacing w:after="0" w:line="257" w:lineRule="auto"/>
        <w:tabs>
          <w:tab w:leader="none" w:pos="13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Covenant Defeasance, we must deliver to the trustee an opinion of external legal counsel of recognized standing with respect to U.S. federal income tax matters that is acceptable to the trustee confirming that the beneficial owners of the then outstanding debt securities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9" w:lineRule="exact"/>
        <w:rPr>
          <w:rFonts w:ascii="Arial" w:cs="Arial" w:eastAsia="Arial" w:hAnsi="Arial"/>
          <w:sz w:val="18"/>
          <w:szCs w:val="18"/>
          <w:color w:val="auto"/>
        </w:rPr>
      </w:pPr>
    </w:p>
    <w:p>
      <w:pPr>
        <w:ind w:left="560" w:right="280" w:firstLine="419"/>
        <w:spacing w:after="0" w:line="308" w:lineRule="auto"/>
        <w:tabs>
          <w:tab w:leader="none" w:pos="1373"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debt securities of that series must have occurred and be continuing on the date of such deposit (other than a Default or Event of Default resulting from the borrowing of funds to be applied to such deposit);</w:t>
      </w:r>
    </w:p>
    <w:p>
      <w:pPr>
        <w:spacing w:after="0" w:line="38" w:lineRule="exact"/>
        <w:rPr>
          <w:rFonts w:ascii="Arial" w:cs="Arial" w:eastAsia="Arial" w:hAnsi="Arial"/>
          <w:sz w:val="17"/>
          <w:szCs w:val="17"/>
          <w:color w:val="auto"/>
        </w:rPr>
      </w:pPr>
    </w:p>
    <w:p>
      <w:pPr>
        <w:ind w:left="560" w:right="360" w:firstLine="419"/>
        <w:spacing w:after="0" w:line="263" w:lineRule="auto"/>
        <w:tabs>
          <w:tab w:leader="none" w:pos="13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deposit was not made by us with the intent of preferring the holders of debt securities of that series over our other creditors with the intent of defeating, hindering, delaying or defrauding our creditors or others; and</w:t>
      </w:r>
    </w:p>
    <w:p>
      <w:pPr>
        <w:spacing w:after="0" w:line="75" w:lineRule="exact"/>
        <w:rPr>
          <w:rFonts w:ascii="Arial" w:cs="Arial" w:eastAsia="Arial" w:hAnsi="Arial"/>
          <w:sz w:val="18"/>
          <w:szCs w:val="18"/>
          <w:color w:val="auto"/>
        </w:rPr>
      </w:pPr>
    </w:p>
    <w:p>
      <w:pPr>
        <w:ind w:left="560" w:right="20" w:firstLine="419"/>
        <w:spacing w:after="0" w:line="277" w:lineRule="auto"/>
        <w:tabs>
          <w:tab w:leader="none" w:pos="13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an opinion of external legal counsel, each stating that all conditions precedent relating to the Legal Defeasance or the Covenant Defeasance have been complied with.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will be discharged and will cease to be of further effect with respect to debt securities of a series when:</w:t>
      </w:r>
    </w:p>
    <w:p>
      <w:pPr>
        <w:spacing w:after="0" w:line="225" w:lineRule="exact"/>
        <w:rPr>
          <w:sz w:val="20"/>
          <w:szCs w:val="20"/>
          <w:color w:val="auto"/>
        </w:rPr>
      </w:pPr>
    </w:p>
    <w:p>
      <w:pPr>
        <w:ind w:left="940" w:hanging="3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320" w:right="120" w:hanging="435"/>
        <w:spacing w:after="0" w:line="263" w:lineRule="auto"/>
        <w:tabs>
          <w:tab w:leader="none" w:pos="13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debt securities of that series that have been authenticated, except lost, stolen or destroyed debt securities that have been replaced or paid and notes for whose payment money has been deposited in trust and thereafter repaid to us, have been delivered to the paying agent for cancellation; or</w:t>
      </w:r>
    </w:p>
    <w:p>
      <w:pPr>
        <w:spacing w:after="0" w:line="89" w:lineRule="exact"/>
        <w:rPr>
          <w:rFonts w:ascii="Arial" w:cs="Arial" w:eastAsia="Arial" w:hAnsi="Arial"/>
          <w:sz w:val="18"/>
          <w:szCs w:val="18"/>
          <w:color w:val="auto"/>
        </w:rPr>
      </w:pPr>
    </w:p>
    <w:p>
      <w:pPr>
        <w:ind w:left="1320" w:right="40" w:hanging="435"/>
        <w:spacing w:after="0" w:line="271" w:lineRule="auto"/>
        <w:tabs>
          <w:tab w:leader="none" w:pos="13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debt securities of that series that have not been delivered to the paying agent for cancellation have become due and payable by reason of the mailing of a notice of redemption or otherwise or will become due and payable within one year and we have irrevocably deposited or caused to be deposited with the trustee or the paying agent as trust funds in trust solely for the benefit of the holders of the debt securities of such series, cash in U.S. dollars, U.S. Government Obligation, or a combination of cash in U.S. dollars and U.S. Government Obligation, in amounts as will be sufficient (in the case of a deposit not entirely in cash, in the opinion of an internationally recognized investment bank, appraisal firm or firm of independent public accountants), without consideration of any reinvestment of interest, to pay and discharge the entire indebtedness on such debt securities not delivered to the paying agent for cancellation for principal, premium and accrued interest to the date of maturity or redemption;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311" w:lineRule="auto"/>
        <w:tabs>
          <w:tab w:leader="none" w:pos="95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Default or Event of Default under the indenture has occurred and is continuing with respect to the debt securities of that series on the date of the deposit (other than a Default or Event of Default resulting from the borrowing of funds to be applied to such deposit) and the deposit will not result in a breach or violation of, or constitute a default under, any other instrument to which we are a party or by which we are bound;</w:t>
      </w:r>
    </w:p>
    <w:p>
      <w:pPr>
        <w:spacing w:after="0" w:line="148" w:lineRule="exact"/>
        <w:rPr>
          <w:rFonts w:ascii="Arial" w:cs="Arial" w:eastAsia="Arial" w:hAnsi="Arial"/>
          <w:sz w:val="16"/>
          <w:szCs w:val="16"/>
          <w:color w:val="auto"/>
        </w:rPr>
      </w:pPr>
    </w:p>
    <w:p>
      <w:pPr>
        <w:ind w:left="940" w:hanging="384"/>
        <w:spacing w:after="0"/>
        <w:tabs>
          <w:tab w:leader="none" w:pos="9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paid or caused to be paid all sums payable by us under the indenture with respect to the debt securities of that series; and</w:t>
      </w:r>
    </w:p>
    <w:p>
      <w:pPr>
        <w:spacing w:after="0" w:line="236" w:lineRule="exact"/>
        <w:rPr>
          <w:rFonts w:ascii="Arial" w:cs="Arial" w:eastAsia="Arial" w:hAnsi="Arial"/>
          <w:sz w:val="17"/>
          <w:szCs w:val="17"/>
          <w:color w:val="auto"/>
        </w:rPr>
      </w:pPr>
    </w:p>
    <w:p>
      <w:pPr>
        <w:ind w:left="120" w:right="120" w:firstLine="436"/>
        <w:spacing w:after="0" w:line="308" w:lineRule="auto"/>
        <w:tabs>
          <w:tab w:leader="none" w:pos="95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delivered irrevocable instructions to the trustee or the paying agent (as the case may be) under the indenture to apply the deposited money toward the payment of the debt securities of that series at maturity or the redemption date, as the case may be.</w:t>
      </w:r>
    </w:p>
    <w:p>
      <w:pPr>
        <w:spacing w:after="0" w:line="14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addition, we shall deliver an officers’ certificate and an opinion of external legal counsel to the trustee stating that all conditions precedent to satisfaction and discharge have been satisfied.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trustee under the indenture is Citibank, N.A.. Pursuant to the indenture, the trustee will be designated by us as the initial paying and transfer agent and registrar for the debt securities. The corporate trust office of the trustee is currently located at 388 Greenwich Street, New York, New York 10013.</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indenture provides that the trustee, except during the continuance of an Event of Default, undertakes to perform such duties and only such duties as are specifically set forth therein. If an Event of Default has occurred and is continuing, the trustee will exercise such of the rights and powers vested in it by the indenture, and use the same degree of care and skill in its exercise, as a prudent person would exercise or use under the circumstances in the conduct of such person’s own affairs.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Whenever the trustee shall have discretion or permissive power in accordance with the indenture or the law, the trustee may decline to exercise the same in the absence of approval by the holders and shall have no obligation to exercise the same unless it has received pre-funding, been indemnified and/or provided with security to its satisfaction against all actions, proceedings, claims, actions or demands to which it may render itself liable and all costs, damages, charges, expenses and liabilities which it may incur by so doing. The trustee in its various capacities shall in no event be responsible for special, indirect, punitive or consequential loss or damage of any kind whatsoever (including, but not limited to, loss of profit, goodwill or opportunity), whether or not foreseeable, even if the trustee has been advised of the possibility of such loss or damage and regardless of the form of action.</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Subject to the terms of the indenture and the Trust Indenture Act, the trustee is permitted to engage in other transactions with the Company and its affiliates and can profit therefrom without being obliged to account for such profit; and the trustee shall not be under any obligation to monitor any conflict of interest, if any, which may arise between itself and such other parties. The trustee may have interest in, or may be providing, or may in the future provide financial services to other parties.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Indemnity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To the fullest extent permitted by law, our obligations to any holder of debt securities under the indenture or the applicable series of debt securities, as the case may be, shall, notwithstanding any judgment in a currency (the “Judgment Currency”) other than U.S. dollars (the “Agreement Currency”), be discharged only to the extent that on the Business Day following receipt by such holder or the trustee, as the case may be, of any amount in the Judgment Currency, such holder or the trustee, as the case may be, may in accordance with normal banking procedures purchase the Agreement Currency with the Judgment Currency. If the amount of the Agreement Currency so purchased is less than the amount originally to be paid to such holder or the trustee, as the case may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be, in the Agreement Currency, we agree, as a separate obligation and notwithstanding such judgment, to pay the difference and if the amount of the Agreement Currency so purchased exceeds the amount originally to be paid to such holder, such holder or the trustee, as the case may be, agrees to pay to or for our account such excess, provided that such holder shall not have any obligation to pay any such excess as long as a default by us in our obligations under the indenture or the debt securities of such series has occurred and is continuing, in which case such excess may be applied by such holder to such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Notices to holders of debt securities will be mailed to them (or the first named of joint holders) by first class mail (or, if first class mail is unavailable, by airmail) at their respective addresses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 and Consent to Jurisdiction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indenture and the debt securities will be governed by and will be construed in accordance with the laws of the State of New York. We have agreed that any action arising out of or based upon the indenture may be instituted in any U.S. federal or New York State court located in the Borough of Manhattan, The City of New York, and have irrevocably submitted to the non-exclusive jurisdiction of any such court in any such action. We have appointed Cogency Global Inc., located at 122 East 42nd Street, 18th Floor, New York, NY 10168, as our agent upon which process may be served in any such action.</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agreed that, to the extent that we are or become entitled to any sovereign or other immunity, we will waive such immunity in respect of our obligations under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below are definitions of certain of the terms used herein. Additional terms are defined elsewhere above or in the indenture.</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“Business Day” means a day other than a Saturday, Sunday or a day on which banking institutions or trust companies in The City of New York, Hong Kong or Beijing are authorized or obligated by law, regulation or executive order to remain closed.</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“Capital Stock” of any Person means any and all shares, interests, rights to purchase, warrants, options, participations or other equivalents of or interests in (however designated) equity of such Person, including any Preferred Shares and limited liability or partnership interests (whether general or limited), but excluding any debt securities convertible or exchangeable into such equity.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“Company” means iQIYI, Inc.</w:t>
      </w:r>
    </w:p>
    <w:p>
      <w:pPr>
        <w:spacing w:after="0" w:line="22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 xml:space="preserve">“Consolidated Affiliated Entity” of any Person means any corporation, association or other entity which is or is required to be consolidated with such Person under Accounting Standards Codification subtopic 810-10, </w:t>
      </w:r>
      <w:r>
        <w:rPr>
          <w:rFonts w:ascii="Arial" w:cs="Arial" w:eastAsia="Arial" w:hAnsi="Arial"/>
          <w:sz w:val="17"/>
          <w:szCs w:val="17"/>
          <w:i w:val="1"/>
          <w:iCs w:val="1"/>
          <w:color w:val="auto"/>
        </w:rPr>
        <w:t>Consolidation: Overall</w:t>
      </w:r>
      <w:r>
        <w:rPr>
          <w:rFonts w:ascii="Arial" w:cs="Arial" w:eastAsia="Arial" w:hAnsi="Arial"/>
          <w:sz w:val="17"/>
          <w:szCs w:val="17"/>
          <w:color w:val="auto"/>
        </w:rPr>
        <w:t xml:space="preserve"> (including any changes, amendments or supplements thereto) or, if such Person prepares its financial statements in accordance with accounting principles other than U.S. GAAP, the equivalent of Accounting Standards Codification subtopic 810-10, Consolidation: Overall under such accounting principles. Unless otherwise specified herein, each reference to a Consolidated Affiliated Entity will refer to a Consolidated Affiliated Entity of ours.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“Controlled Entity” of any Person means a Subsidiary or a Consolidated Affiliated Entity of such Person.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“Dollar Equivalent”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49"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“holder” in relation to a debt security, means the Person in whose name a debt security is registered in the security register for the registration and the registration of transfer or of exchange of the applicable series of securities.</w:t>
      </w:r>
    </w:p>
    <w:p>
      <w:pPr>
        <w:spacing w:after="0" w:line="170"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“Person” means any individual, corporation, firm, limited liability company, partnership, joint venture, undertaking, association, joint stock company, trust, unincorporated organization, trust, state, government or any agency or political subdivision thereof or any other entity (in each case whether or not being a separate legal entity).</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“PRC” means the People’s Republic of China, excluding, for purposes of this definition, the Hong Kong Special Administrative Region, the Macau Special Administrative Region and Taiwan.</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“Preferred Shares,” as applied to the Capital Stock of any corporation, means Capital Stock of any class or classes (however designated) that is preferred as to the payment of dividends upon liquidation, dissolution or winding up.</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“Stated Maturity” means, when used with respect to any debt security or any installment of interest thereon, the date specified in such debt security as the fixed date on which the principal (or any portion thereof) of or premium, if any, on such debt security or such installment of interest is due and payable.</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“Subsidiary” of any Person means (a) any corporation, association or other business entity (other than a partnership, joint venture, 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 (b) any partnership, joint venture limited liability company or similar entity of which more than 50% of the capital accounts, distribution rights, total equity and voting interests or general or limited partnership interests, as applicable, is, in the case of clauses (a) and (b), voting at the time owned or controlled, directly or indirectly, by (1) such Person, (2) such Person and one or more Subsidiaries of such Person or (3) one or more Subsidiaries of such Person. Unless otherwise specified herein, each reference to a Subsidiary will refer to a Subsidiary of the Company.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Equity” as of any date, means the total equity attributable to our shareholders on a consolidated basis determined in accordance with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GAAP, as shown on our consolidated balance sheet for the most recent fiscal quarter.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 GAAP” refers to generally accepted accounting principles in the United States of America.</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“U.S. Government Obligations”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company, such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w:t>
      </w:r>
    </w:p>
    <w:p>
      <w:pPr>
        <w:spacing w:after="0" w:line="116" w:lineRule="exact"/>
        <w:rPr>
          <w:sz w:val="20"/>
          <w:szCs w:val="20"/>
          <w:color w:val="auto"/>
        </w:rPr>
      </w:pPr>
    </w:p>
    <w:p>
      <w:pPr>
        <w:ind w:left="980" w:hanging="43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w:t>
      </w:r>
    </w:p>
    <w:p>
      <w:pPr>
        <w:spacing w:after="0" w:line="131" w:lineRule="exact"/>
        <w:rPr>
          <w:sz w:val="20"/>
          <w:szCs w:val="20"/>
          <w:color w:val="auto"/>
        </w:rPr>
      </w:pPr>
    </w:p>
    <w:p>
      <w:pPr>
        <w:ind w:left="980" w:right="100" w:hanging="432"/>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Substantially all of our operations are conducted in China, and substantially all of our assets are located in China. A majority of our directors and executive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appointed Cogency Global Inc., located at 122 East 42nd Street, 18th Floor, New York, NY 10168, as our agent upon whom process may be served in any action brought against us under the securities laws of the United States in connection with an offering of securities registered by the registration statement of which this prospectus is a part.</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been advised by Walkers (Hong Kong), our counsel as to Cayman Islands law, that the United States and the Cayman Islands do not have a treaty providing for reciprocal recognition and enforcement of judgments of U.S. courts in civil and commercial matters and that there is uncertainty as to whether a final judgment for the payment of money rendered by any federal or state court in the United States based on civil liability provisions, whether or not predicated solely upon the U.S. federal securities laws, would be enforceable in the Cayman Islands. This uncertainty relates to whether such a judgment would be determined by the courts of the Cayman Islands to be penal or punitive in nature. We have also been advised by Walkers (Hong Kong) that, notwithstanding the above, a final and conclusive judgment obtained in U.S. federal or state courts under which a definite sum of money is payable as compensatory damages and not in respect of laws that are penal in nature (i.e., not being a sum claimed by a revenue authority for taxes or other charges of a similar nature by a governmental authority, or in respect of a fine or penalty or multiple or punitive damages) will be recognized and enforced in the courts of the Cayman Islands at common law, without any re-examination of the merits of the underlying dispute, by an action commenced on the foreign judgment debt in the Grand Court of the Cayman Islands, provided that:</w:t>
      </w:r>
    </w:p>
    <w:p>
      <w:pPr>
        <w:spacing w:after="0" w:line="74" w:lineRule="exact"/>
        <w:rPr>
          <w:sz w:val="20"/>
          <w:szCs w:val="20"/>
          <w:color w:val="auto"/>
        </w:rPr>
      </w:pPr>
    </w:p>
    <w:p>
      <w:pPr>
        <w:jc w:val="both"/>
        <w:ind w:left="980" w:right="180" w:hanging="432"/>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court that gave the judgment was competent to hear the action in accordance with private international law principles as applied by the courts in the Cayman Islands and the parties subject to such judgment either submitted to such jurisdiction or were resident or carrying on business within such jurisdiction and were duly served with process;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given by the foreign court was not in respect of penalties, taxes, fines or similar fiscal or revenue obligations;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was final and conclusive and for a liquidated sum;</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was not obtained by fraud; and</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judgment was not obtained in a manner and is not of a kind the enforcement of which is contrary to natural justice or public policy in the Cayman Islands.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 Cayman Islands court may impose civil liability on us or our directors or officers in a suit brought in the Grand Court of the Cayman Islands against us or these persons with respect to a violation of U.S. federal securities laws, provided that the facts surrounding any violation constitute or give rise to a cause of action under Cayman Islands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Jingtian &amp; Gongcheng, our counsel as to PRC law, has advised us that there is uncertainty as to whether the courts of China would:</w:t>
      </w:r>
    </w:p>
    <w:p>
      <w:pPr>
        <w:spacing w:after="0" w:line="131" w:lineRule="exact"/>
        <w:rPr>
          <w:sz w:val="20"/>
          <w:szCs w:val="20"/>
          <w:color w:val="auto"/>
        </w:rPr>
      </w:pPr>
    </w:p>
    <w:p>
      <w:pPr>
        <w:ind w:left="980" w:right="360" w:hanging="432"/>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980" w:right="80" w:hanging="432"/>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Jingtian &amp; Gongcheng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our ADSs or ordinary shares.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“Plan of Distribution.” Such selling shareholders may also sell, transfer or otherwise dispose of Class A ordinary shares in transactions exempt from the registration requirements of the Securities Act.</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320" w:top="459" w:right="5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or the selling shareholders named in the applicable prospectus supplement may sell the securities described in this prospectus from time to time in one or more transactions, including without limitation:</w:t>
      </w:r>
    </w:p>
    <w:p>
      <w:pPr>
        <w:spacing w:after="0" w:line="76" w:lineRule="exact"/>
        <w:rPr>
          <w:sz w:val="20"/>
          <w:szCs w:val="20"/>
          <w:color w:val="auto"/>
        </w:rPr>
      </w:pPr>
    </w:p>
    <w:p>
      <w:pPr>
        <w:ind w:left="980" w:hanging="432"/>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80" w:right="120" w:hanging="432"/>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any national exchange on which the securities offered by this prospectus are listed or any automatic quotation system through which the securities may be quoted;</w:t>
      </w:r>
    </w:p>
    <w:p>
      <w:pPr>
        <w:spacing w:after="0" w:line="75" w:lineRule="exact"/>
        <w:rPr>
          <w:rFonts w:ascii="Arial" w:cs="Arial" w:eastAsia="Arial" w:hAnsi="Arial"/>
          <w:sz w:val="18"/>
          <w:szCs w:val="18"/>
          <w:color w:val="auto"/>
        </w:rPr>
      </w:pPr>
    </w:p>
    <w:p>
      <w:pPr>
        <w:ind w:left="980" w:right="320" w:hanging="432"/>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 through a combination of any of these methods.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or the selling shareholders named in the applicable prospectus supplement may sell the securities offered by this prospectus at:</w:t>
      </w:r>
    </w:p>
    <w:p>
      <w:pPr>
        <w:spacing w:after="0" w:line="131"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 negotiated prices.</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applicable prospectus supplement will describe the terms of the offering of the securities, including the following:</w:t>
      </w:r>
    </w:p>
    <w:p>
      <w:pPr>
        <w:spacing w:after="0" w:line="131" w:lineRule="exact"/>
        <w:rPr>
          <w:sz w:val="20"/>
          <w:szCs w:val="20"/>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pay expenses incurred with respect to the registration of shares owned by any selling shareholders.</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underwriters, dealers and agents, as well as their associates, may be customers of or lenders to, and may engage in transactions with and perform services for, iQIYI, Inc.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otherwise indicated in an applicable prospectus supplement or confirmation of sale, the purchase price of the securities will be required to be paid in immediately available funds in New York City.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320" w:top="459" w:right="5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Class A ordinary shares represented by the ADSs will be passed upon for us by Walkers (Hong Kong). The validity of the debt securities will be passed upon for us by Skadden, Arps, Slate, Meagher &amp; Flom LLP. Certain legal matters as to PRC law will be passed upon for us by Jingtian &amp; Gongcheng and for the underwriters by a law firm named in the applicable prospectus supplement. Skadden, Arps, Slate, Meagher &amp; Flom LLP may rely upon Walkers (Hong Kong) with respect to matters governed by Cayman Islands law and Jingtian &amp; Gongcheng with respect to matters governed by PRC law.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iQIYI, Inc. appearing in iQIYI, Inc.’s Annual Report on Form 20-F for the year ended December 31, 2019, and the effectiveness of iQIYI, Inc.’s internal control over financial reporting as of December 31, 2019 have been audited by Ernst &amp; Young Hua Ming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offices of Ernst &amp; Young Hua Ming LLP are located at Level 16, Ernst &amp; Young Tower, Tower E3, Oriental Plaza, No. 1 East Chang An Avenue, Dong Cheng District, Beijing 100738, the People’s Republic of China.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320" w:top="459" w:right="5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 xml:space="preserve">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You can also find information on our website </w:t>
      </w:r>
      <w:r>
        <w:rPr>
          <w:rFonts w:ascii="Arial" w:cs="Arial" w:eastAsia="Arial" w:hAnsi="Arial"/>
          <w:sz w:val="17"/>
          <w:szCs w:val="17"/>
          <w:i w:val="1"/>
          <w:iCs w:val="1"/>
          <w:color w:val="auto"/>
        </w:rPr>
        <w:t>http://ir.iqiyi.com</w:t>
      </w:r>
      <w:r>
        <w:rPr>
          <w:rFonts w:ascii="Arial" w:cs="Arial" w:eastAsia="Arial" w:hAnsi="Arial"/>
          <w:sz w:val="17"/>
          <w:szCs w:val="17"/>
          <w:color w:val="auto"/>
        </w:rPr>
        <w:t>. The information contained on our website is not a part of this prospectus.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320" w:top="459" w:right="5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following documents:</w:t>
      </w:r>
    </w:p>
    <w:p>
      <w:pPr>
        <w:spacing w:after="0" w:line="131" w:lineRule="exact"/>
        <w:rPr>
          <w:sz w:val="20"/>
          <w:szCs w:val="20"/>
          <w:color w:val="auto"/>
        </w:rPr>
      </w:pPr>
    </w:p>
    <w:p>
      <w:pPr>
        <w:ind w:left="980" w:hanging="432"/>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5">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on March 12, 2020;</w:t>
      </w:r>
    </w:p>
    <w:p>
      <w:pPr>
        <w:spacing w:after="0" w:line="130"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86">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the Unaudited Interim Condensed Consolidated Financial Statements attached as </w:t>
      </w:r>
      <w:hyperlink r:id="rId87">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with the SEC on December 15, 2020;</w:t>
      </w:r>
    </w:p>
    <w:p>
      <w:pPr>
        <w:spacing w:after="0" w:line="75"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future annual reports on Form 20-F filed with the SEC after the date of this prospectus and prior to the termination of the offering of the securities offered by this prospectus;</w:t>
      </w:r>
    </w:p>
    <w:p>
      <w:pPr>
        <w:spacing w:after="0" w:line="75" w:lineRule="exact"/>
        <w:rPr>
          <w:rFonts w:ascii="Arial" w:cs="Arial" w:eastAsia="Arial" w:hAnsi="Arial"/>
          <w:sz w:val="18"/>
          <w:szCs w:val="18"/>
          <w:color w:val="auto"/>
        </w:rPr>
      </w:pPr>
    </w:p>
    <w:p>
      <w:pPr>
        <w:ind w:left="980" w:right="180" w:hanging="432"/>
        <w:spacing w:after="0" w:line="308"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description of the securities contained in our registration statement on </w:t>
      </w:r>
      <w:hyperlink r:id="rId88">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March 16, 2018 pursuant to Section 12 of the Exchange Act, together with all amendments and reports filed for the purpose of updating that description; and</w:t>
      </w:r>
    </w:p>
    <w:p>
      <w:pPr>
        <w:spacing w:after="0" w:line="51" w:lineRule="exact"/>
        <w:rPr>
          <w:rFonts w:ascii="Arial" w:cs="Arial" w:eastAsia="Arial" w:hAnsi="Arial"/>
          <w:sz w:val="17"/>
          <w:szCs w:val="17"/>
          <w:color w:val="auto"/>
        </w:rPr>
      </w:pPr>
    </w:p>
    <w:p>
      <w:pPr>
        <w:ind w:left="980" w:right="580" w:hanging="432"/>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future reports on Form 6-K that we furnish to the SEC after the date of this prospectus that are identified in such reports as being incorporated by reference in this prospectus.</w:t>
      </w:r>
    </w:p>
    <w:p>
      <w:pPr>
        <w:spacing w:after="0" w:line="170" w:lineRule="exact"/>
        <w:rPr>
          <w:rFonts w:ascii="Arial" w:cs="Arial" w:eastAsia="Arial" w:hAnsi="Arial"/>
          <w:sz w:val="18"/>
          <w:szCs w:val="18"/>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iQIYI,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9/F, iQIYI Innovation Building</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No. 2 Haidian North First Street, Haidian District</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Beijing 100080, People’s Republic of China</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Tel: +86 10 6267-7171</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Attention: Investor Relations Department</w:t>
      </w:r>
    </w:p>
    <w:p>
      <w:pPr>
        <w:spacing w:after="0" w:line="211" w:lineRule="exact"/>
        <w:rPr>
          <w:rFonts w:ascii="Arial" w:cs="Arial" w:eastAsia="Arial" w:hAnsi="Arial"/>
          <w:sz w:val="18"/>
          <w:szCs w:val="18"/>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conduct amounting to willful default, willful neglect, fraud or dishonesty, for example, civil fraud or the consequences of committing a crime. Our articles of association provide for indemnification of officers and directors for losses, damages, costs and expenses incurred in their capacities as such, except through their own dishonesty, willful default or fraud.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the indemnification agreements, the form of which has been filed as Exhibit 10.3 to our registration statement on F-1 (File</w:t>
      </w:r>
    </w:p>
    <w:p>
      <w:pPr>
        <w:spacing w:after="0" w:line="35"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No. 333-223263), as amended, we agreed to indemnify our directors and officers against certain liabilities and expenses incurred by such persons in connection with claims made by reason of their being such a director or officer.</w:t>
      </w:r>
    </w:p>
    <w:p>
      <w:pPr>
        <w:spacing w:after="0" w:line="185" w:lineRule="exact"/>
        <w:rPr>
          <w:sz w:val="20"/>
          <w:szCs w:val="20"/>
          <w:color w:val="auto"/>
        </w:rPr>
      </w:pPr>
    </w:p>
    <w:p>
      <w:pPr>
        <w:ind w:left="120" w:right="1060" w:firstLine="440"/>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or 1.2 to this registration statement, will also provide for indemnification of us and our officers and directors.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69"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329"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360" w:hanging="381"/>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900" w:hanging="392"/>
        <w:spacing w:after="0"/>
        <w:tabs>
          <w:tab w:leader="none" w:pos="19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40" w:lineRule="exact"/>
        <w:rPr>
          <w:rFonts w:ascii="Arial" w:cs="Arial" w:eastAsia="Arial" w:hAnsi="Arial"/>
          <w:sz w:val="16"/>
          <w:szCs w:val="16"/>
          <w:color w:val="auto"/>
        </w:rPr>
      </w:pPr>
    </w:p>
    <w:p>
      <w:pPr>
        <w:ind w:left="2280" w:hanging="349"/>
        <w:spacing w:after="0"/>
        <w:tabs>
          <w:tab w:leader="none" w:pos="22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540" w:firstLine="391"/>
        <w:spacing w:after="0" w:line="291" w:lineRule="auto"/>
        <w:tabs>
          <w:tab w:leader="none" w:pos="2320" w:val="left"/>
        </w:tabs>
        <w:numPr>
          <w:ilvl w:val="2"/>
          <w:numId w:val="5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58" w:lineRule="exact"/>
        <w:rPr>
          <w:rFonts w:ascii="Arial" w:cs="Arial" w:eastAsia="Arial" w:hAnsi="Arial"/>
          <w:sz w:val="16"/>
          <w:szCs w:val="16"/>
          <w:color w:val="auto"/>
        </w:rPr>
      </w:pPr>
    </w:p>
    <w:p>
      <w:pPr>
        <w:ind w:left="1540" w:right="240" w:firstLine="391"/>
        <w:spacing w:after="0" w:line="277" w:lineRule="auto"/>
        <w:tabs>
          <w:tab w:leader="none" w:pos="237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item do not apply if the information required to be included in a post-effective amendment by those paragraphs is contained in periodic reports filed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38" w:lineRule="exact"/>
        <w:rPr>
          <w:sz w:val="20"/>
          <w:szCs w:val="20"/>
          <w:color w:val="auto"/>
        </w:rPr>
      </w:pPr>
    </w:p>
    <w:p>
      <w:pPr>
        <w:ind w:left="1100" w:right="20" w:firstLine="408"/>
        <w:spacing w:after="0" w:line="263" w:lineRule="auto"/>
        <w:tabs>
          <w:tab w:leader="none" w:pos="18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1100" w:firstLine="408"/>
        <w:spacing w:after="0" w:line="277" w:lineRule="auto"/>
        <w:tabs>
          <w:tab w:leader="none" w:pos="18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00" w:right="40" w:firstLine="408"/>
        <w:spacing w:after="0" w:line="290" w:lineRule="auto"/>
        <w:tabs>
          <w:tab w:leader="none" w:pos="188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57" w:lineRule="exact"/>
        <w:rPr>
          <w:rFonts w:ascii="Arial" w:cs="Arial" w:eastAsia="Arial" w:hAnsi="Arial"/>
          <w:sz w:val="16"/>
          <w:szCs w:val="16"/>
          <w:color w:val="auto"/>
        </w:rPr>
      </w:pPr>
    </w:p>
    <w:p>
      <w:pPr>
        <w:ind w:left="1900" w:hanging="392"/>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540" w:right="140" w:firstLine="391"/>
        <w:spacing w:after="0" w:line="308" w:lineRule="auto"/>
        <w:tabs>
          <w:tab w:leader="none" w:pos="2273" w:val="left"/>
        </w:tabs>
        <w:numPr>
          <w:ilvl w:val="1"/>
          <w:numId w:val="58"/>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8" w:lineRule="exact"/>
        <w:rPr>
          <w:rFonts w:ascii="Arial" w:cs="Arial" w:eastAsia="Arial" w:hAnsi="Arial"/>
          <w:sz w:val="17"/>
          <w:szCs w:val="17"/>
          <w:color w:val="auto"/>
        </w:rPr>
      </w:pPr>
    </w:p>
    <w:p>
      <w:pPr>
        <w:ind w:left="1540" w:firstLine="391"/>
        <w:spacing w:after="0" w:line="287" w:lineRule="auto"/>
        <w:tabs>
          <w:tab w:leader="none" w:pos="2323" w:val="left"/>
        </w:tabs>
        <w:numPr>
          <w:ilvl w:val="1"/>
          <w:numId w:val="5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77" w:lineRule="auto"/>
        <w:tabs>
          <w:tab w:leader="none" w:pos="18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62" w:lineRule="exact"/>
        <w:rPr>
          <w:sz w:val="20"/>
          <w:szCs w:val="20"/>
          <w:color w:val="auto"/>
        </w:rPr>
      </w:pPr>
    </w:p>
    <w:p>
      <w:pPr>
        <w:ind w:left="1540" w:right="120" w:firstLine="383"/>
        <w:spacing w:after="0" w:line="279" w:lineRule="auto"/>
        <w:rPr>
          <w:sz w:val="20"/>
          <w:szCs w:val="20"/>
          <w:color w:val="auto"/>
        </w:rPr>
      </w:pPr>
      <w:r>
        <w:rPr>
          <w:rFonts w:ascii="Arial" w:cs="Arial" w:eastAsia="Arial" w:hAnsi="Arial"/>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sz w:val="20"/>
          <w:szCs w:val="20"/>
          <w:color w:val="auto"/>
        </w:rPr>
      </w:pPr>
    </w:p>
    <w:p>
      <w:pPr>
        <w:ind w:left="1540" w:right="620" w:firstLine="391"/>
        <w:spacing w:after="0" w:line="277" w:lineRule="auto"/>
        <w:tabs>
          <w:tab w:leader="none" w:pos="226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540" w:right="420" w:firstLine="391"/>
        <w:spacing w:after="0" w:line="277" w:lineRule="auto"/>
        <w:tabs>
          <w:tab w:leader="none" w:pos="23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540" w:right="560" w:firstLine="391"/>
        <w:spacing w:after="0" w:line="277" w:lineRule="auto"/>
        <w:tabs>
          <w:tab w:leader="none" w:pos="23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2360" w:hanging="429"/>
        <w:spacing w:after="0"/>
        <w:tabs>
          <w:tab w:leader="none" w:pos="23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560" w:firstLine="419"/>
        <w:spacing w:after="0" w:line="257" w:lineRule="auto"/>
        <w:tabs>
          <w:tab w:leader="none" w:pos="13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left="560" w:right="40" w:firstLine="419"/>
        <w:spacing w:after="0" w:line="290" w:lineRule="auto"/>
        <w:tabs>
          <w:tab w:leader="none" w:pos="13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20" w:type="dxa"/>
            <w:vAlign w:val="bottom"/>
            <w:gridSpan w:val="7"/>
          </w:tcPr>
          <w:p>
            <w:pPr>
              <w:ind w:left="88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4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1.1*</w:t>
            </w:r>
          </w:p>
        </w:tc>
        <w:tc>
          <w:tcPr>
            <w:tcW w:w="460" w:type="dxa"/>
            <w:vAlign w:val="bottom"/>
          </w:tcPr>
          <w:p>
            <w:pPr>
              <w:spacing w:after="0"/>
              <w:rPr>
                <w:sz w:val="16"/>
                <w:szCs w:val="16"/>
                <w:color w:val="auto"/>
              </w:rPr>
            </w:pPr>
          </w:p>
        </w:tc>
        <w:tc>
          <w:tcPr>
            <w:tcW w:w="9560" w:type="dxa"/>
            <w:vAlign w:val="bottom"/>
            <w:tcBorders>
              <w:top w:val="single" w:sz="8" w:color="auto"/>
            </w:tcBorders>
            <w:gridSpan w:val="8"/>
          </w:tcPr>
          <w:p>
            <w:pPr>
              <w:spacing w:after="0" w:line="189" w:lineRule="exact"/>
              <w:rPr>
                <w:sz w:val="20"/>
                <w:szCs w:val="20"/>
                <w:color w:val="auto"/>
              </w:rPr>
            </w:pPr>
            <w:r>
              <w:rPr>
                <w:rFonts w:ascii="Arial" w:cs="Arial" w:eastAsia="Arial" w:hAnsi="Arial"/>
                <w:sz w:val="18"/>
                <w:szCs w:val="18"/>
                <w:color w:val="auto"/>
              </w:rPr>
              <w:t>Form of Equity Securities Underwriting Agreement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9560" w:type="dxa"/>
            <w:vAlign w:val="bottom"/>
            <w:gridSpan w:val="8"/>
          </w:tcPr>
          <w:p>
            <w:pPr>
              <w:spacing w:after="0"/>
              <w:rPr>
                <w:sz w:val="20"/>
                <w:szCs w:val="20"/>
                <w:color w:val="auto"/>
              </w:rPr>
            </w:pPr>
            <w:r>
              <w:rPr>
                <w:rFonts w:ascii="Arial" w:cs="Arial" w:eastAsia="Arial" w:hAnsi="Arial"/>
                <w:sz w:val="18"/>
                <w:szCs w:val="18"/>
                <w:color w:val="auto"/>
              </w:rPr>
              <w:t>Form of Debt Securities Underwriting Agreement</w:t>
            </w:r>
          </w:p>
        </w:tc>
      </w:tr>
      <w:tr>
        <w:trPr>
          <w:trHeight w:val="190"/>
        </w:trPr>
        <w:tc>
          <w:tcPr>
            <w:tcW w:w="100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460" w:type="dxa"/>
            <w:vAlign w:val="bottom"/>
          </w:tcPr>
          <w:p>
            <w:pPr>
              <w:spacing w:after="0"/>
              <w:rPr>
                <w:sz w:val="16"/>
                <w:szCs w:val="16"/>
                <w:color w:val="auto"/>
              </w:rPr>
            </w:pPr>
          </w:p>
        </w:tc>
        <w:tc>
          <w:tcPr>
            <w:tcW w:w="9560" w:type="dxa"/>
            <w:vAlign w:val="bottom"/>
            <w:gridSpan w:val="8"/>
          </w:tcPr>
          <w:p>
            <w:pPr>
              <w:spacing w:after="0" w:line="190"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Registrant’s Specimen Certificate for Class A Ordinary Shares (incorporated herein by reference to Exhibit 4.2 to the registration</w:t>
              </w:r>
            </w:hyperlink>
          </w:p>
        </w:tc>
      </w:tr>
      <w:tr>
        <w:trPr>
          <w:trHeight w:val="196"/>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statement on Form F-1 (File No. 333-223263), as amended, filed with the SEC on February 27, 2018)</w:t>
              </w:r>
            </w:hyperlink>
          </w:p>
        </w:tc>
        <w:tc>
          <w:tcPr>
            <w:tcW w:w="1940" w:type="dxa"/>
            <w:vAlign w:val="bottom"/>
            <w:tcBorders>
              <w:top w:val="single" w:sz="8" w:color="0000EE"/>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460" w:type="dxa"/>
            <w:vAlign w:val="bottom"/>
          </w:tcPr>
          <w:p>
            <w:pPr>
              <w:spacing w:after="0"/>
              <w:rPr>
                <w:sz w:val="17"/>
                <w:szCs w:val="17"/>
                <w:color w:val="auto"/>
              </w:rPr>
            </w:pPr>
          </w:p>
        </w:tc>
        <w:tc>
          <w:tcPr>
            <w:tcW w:w="95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Deposit Agreement (incorporated herein by reference to Exhibit 4.3 to the registration statement on Form S-8 (File No. 333-225165)</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gridSpan w:val="8"/>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filed with the SEC on May 24, 2018)</w:t>
              </w:r>
            </w:hyperlink>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460" w:type="dxa"/>
            <w:vAlign w:val="bottom"/>
          </w:tcPr>
          <w:p>
            <w:pPr>
              <w:spacing w:after="0"/>
              <w:rPr>
                <w:sz w:val="17"/>
                <w:szCs w:val="17"/>
                <w:color w:val="auto"/>
              </w:rPr>
            </w:pPr>
          </w:p>
        </w:tc>
        <w:tc>
          <w:tcPr>
            <w:tcW w:w="9560" w:type="dxa"/>
            <w:vAlign w:val="bottom"/>
            <w:gridSpan w:val="8"/>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Sixth Amended and Restated Shareholders Agreement, dated October 26, 2017, among the registrant, its ordinary shareholders and</w:t>
              </w:r>
            </w:hyperlink>
          </w:p>
        </w:tc>
      </w:tr>
      <w:tr>
        <w:trPr>
          <w:trHeight w:val="196"/>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preferred shareholders and other parties thereto (incorporated herein by reference to Exhibit 4.4 to the registration statement on</w:t>
              </w:r>
            </w:hyperlink>
          </w:p>
        </w:tc>
        <w:tc>
          <w:tcPr>
            <w:tcW w:w="32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gridSpan w:val="8"/>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Form F-1 (File No. 333-223263), as amended, filed with the SEC on February 27, 2018)</w:t>
              </w:r>
            </w:hyperlink>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9"/>
                <w:szCs w:val="19"/>
                <w:color w:val="auto"/>
              </w:rPr>
            </w:pPr>
          </w:p>
        </w:tc>
        <w:tc>
          <w:tcPr>
            <w:tcW w:w="634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Form of Indenture</w:t>
              </w:r>
            </w:hyperlink>
          </w:p>
        </w:tc>
        <w:tc>
          <w:tcPr>
            <w:tcW w:w="3220" w:type="dxa"/>
            <w:vAlign w:val="bottom"/>
            <w:gridSpan w:val="6"/>
          </w:tcPr>
          <w:p>
            <w:pPr>
              <w:spacing w:after="0"/>
              <w:rPr>
                <w:sz w:val="19"/>
                <w:szCs w:val="19"/>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Form of Debt Security (included in Exhibit 4.4)</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Opinion of Walkers (Hong Kong) regarding the validity of the securities being registered</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Opinion of Skadden, Arps, Slate, Meagher &amp; Flom LLP</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Opinion of Walkers (Hong Kong) regarding certain Cayman Islands tax matters (included in Exhibit 5.1)</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Opinion of Jingtian &amp; Gongcheng regarding certain PRC law matters</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Third Amended and Restated 2010 Equity Incentive Plan</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Consent of Ernst &amp; Young Hua Ming LLP, Independent Registered Public Accounting Firm</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Consent of Walkers (Hong Kong) (included in Exhibit 5.1)</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Consent of Jingtian &amp; Gongcheng (included in Exhibit 8.2)</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23.4**</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Consent of Skadden, Arps, Slate, Meagher &amp; Flom LLP (included in Exhibit 5.2)</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18"/>
                <w:szCs w:val="18"/>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Power of attorney (included on signature page hereof)</w:t>
              </w:r>
            </w:hyperlink>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25.1**</w:t>
            </w:r>
          </w:p>
        </w:tc>
        <w:tc>
          <w:tcPr>
            <w:tcW w:w="460" w:type="dxa"/>
            <w:vAlign w:val="bottom"/>
          </w:tcPr>
          <w:p>
            <w:pPr>
              <w:spacing w:after="0"/>
              <w:rPr>
                <w:sz w:val="20"/>
                <w:szCs w:val="20"/>
                <w:color w:val="auto"/>
              </w:rPr>
            </w:pPr>
          </w:p>
        </w:tc>
        <w:tc>
          <w:tcPr>
            <w:tcW w:w="9560" w:type="dxa"/>
            <w:vAlign w:val="bottom"/>
            <w:gridSpan w:val="8"/>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Form T-1 Statement of Eligibility under the Trust Indenture Act of 1939 of the Trustee under the Indenture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be filed as an exhibit to a post-effective amendment to this registration statement or as an exhibit to a report filed under the Securities Exchange</w:t>
      </w:r>
    </w:p>
    <w:p>
      <w:pPr>
        <w:spacing w:after="0" w:line="248"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with this registration statement on Form F-3.</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December 15, 2020.</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iQIYI,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Yu Gong</w:t>
      </w:r>
    </w:p>
    <w:p>
      <w:pPr>
        <w:spacing w:after="0" w:line="23" w:lineRule="exact"/>
        <w:rPr>
          <w:sz w:val="20"/>
          <w:szCs w:val="20"/>
          <w:color w:val="auto"/>
        </w:rPr>
      </w:pPr>
    </w:p>
    <w:tbl>
      <w:tblPr>
        <w:tblLayout w:type="fixed"/>
        <w:tblInd w:w="7020" w:type="dxa"/>
        <w:tblCellMar>
          <w:top w:w="0" w:type="dxa"/>
          <w:left w:w="0" w:type="dxa"/>
          <w:bottom w:w="0" w:type="dxa"/>
          <w:right w:w="0" w:type="dxa"/>
        </w:tblCellMar>
      </w:tblPr>
      <w:tr>
        <w:trPr>
          <w:trHeight w:val="195"/>
        </w:trPr>
        <w:tc>
          <w:tcPr>
            <w:tcW w:w="6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Yu Gong</w:t>
            </w:r>
          </w:p>
        </w:tc>
      </w:tr>
      <w:tr>
        <w:trPr>
          <w:trHeight w:val="230"/>
        </w:trPr>
        <w:tc>
          <w:tcPr>
            <w:tcW w:w="640" w:type="dxa"/>
            <w:vAlign w:val="bottom"/>
          </w:tcPr>
          <w:p>
            <w:pPr>
              <w:ind w:left="60"/>
              <w:spacing w:after="0"/>
              <w:rPr>
                <w:sz w:val="20"/>
                <w:szCs w:val="20"/>
                <w:color w:val="auto"/>
              </w:rPr>
            </w:pPr>
            <w:r>
              <w:rPr>
                <w:rFonts w:ascii="Arial" w:cs="Arial" w:eastAsia="Arial" w:hAnsi="Arial"/>
                <w:sz w:val="18"/>
                <w:szCs w:val="18"/>
                <w:color w:val="auto"/>
              </w:rPr>
              <w:t>Title:</w:t>
            </w:r>
          </w:p>
        </w:tc>
        <w:tc>
          <w:tcPr>
            <w:tcW w:w="348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Each person whose signature appears below constitutes and appoints each of Yu Gong and Xiaodong Wang as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 hereby ratifying and confirming all that said attorney-in-fact and agent, or its substitute or substitutes, may lawfully do or cause to be done by virtue hereof.</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set forth below on December 15,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4"/>
                <w:szCs w:val="14"/>
                <w:b w:val="1"/>
                <w:bCs w:val="1"/>
                <w:color w:val="auto"/>
                <w:w w:val="89"/>
              </w:rPr>
              <w:t>Signature</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92"/>
              </w:rPr>
              <w:t>/s/ Robin Yanhong Li</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93"/>
              </w:rPr>
              <w:t>Robin Yanhong Li</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90"/>
              </w:rPr>
              <w:t>/s/ Yu Gong</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92"/>
              </w:rPr>
              <w:t>Yu Gong</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3"/>
              </w:rPr>
              <w:t>Chief Executive Officer (principal executive officer) and Director</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91"/>
              <w:spacing w:after="0"/>
              <w:rPr>
                <w:sz w:val="20"/>
                <w:szCs w:val="20"/>
                <w:color w:val="auto"/>
              </w:rPr>
            </w:pPr>
            <w:r>
              <w:rPr>
                <w:rFonts w:ascii="Arial" w:cs="Arial" w:eastAsia="Arial" w:hAnsi="Arial"/>
                <w:sz w:val="18"/>
                <w:szCs w:val="18"/>
                <w:color w:val="auto"/>
                <w:w w:val="90"/>
              </w:rPr>
              <w:t>/s/ Herman Yu</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90"/>
              </w:rPr>
              <w:t>Herman Yu</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88"/>
              </w:rPr>
              <w:t>/s/ Chuan Wang</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89"/>
              </w:rPr>
              <w:t>Chuan Wang</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91"/>
              </w:rPr>
              <w:t>/s/ Haifeng Wang</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91"/>
              <w:spacing w:after="0"/>
              <w:rPr>
                <w:sz w:val="20"/>
                <w:szCs w:val="20"/>
                <w:color w:val="auto"/>
              </w:rPr>
            </w:pPr>
            <w:r>
              <w:rPr>
                <w:rFonts w:ascii="Arial" w:cs="Arial" w:eastAsia="Arial" w:hAnsi="Arial"/>
                <w:sz w:val="18"/>
                <w:szCs w:val="18"/>
                <w:color w:val="auto"/>
                <w:w w:val="91"/>
              </w:rPr>
              <w:t>Haifeng Wang</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90"/>
              </w:rPr>
              <w:t>/s/ Dou Shen</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87"/>
              </w:rPr>
              <w:t>Dou Shen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88"/>
              </w:rPr>
              <w:t>/s/ Sam Hanhui Sun</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89"/>
              </w:rPr>
              <w:t>Sam Hanhui Sun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85"/>
              </w:rPr>
              <w:t>/s/ Jane Jie Sun</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86"/>
              </w:rPr>
              <w:t>Jane Jie Sun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431"/>
        </w:trPr>
        <w:tc>
          <w:tcPr>
            <w:tcW w:w="180" w:type="dxa"/>
            <w:vAlign w:val="bottom"/>
          </w:tcPr>
          <w:p>
            <w:pPr>
              <w:spacing w:after="0"/>
              <w:rPr>
                <w:sz w:val="24"/>
                <w:szCs w:val="24"/>
                <w:color w:val="auto"/>
              </w:rPr>
            </w:pPr>
          </w:p>
        </w:tc>
        <w:tc>
          <w:tcPr>
            <w:tcW w:w="4300" w:type="dxa"/>
            <w:vAlign w:val="bottom"/>
            <w:tcBorders>
              <w:bottom w:val="single" w:sz="8" w:color="auto"/>
            </w:tcBorders>
          </w:tcPr>
          <w:p>
            <w:pPr>
              <w:jc w:val="center"/>
              <w:ind w:left="871"/>
              <w:spacing w:after="0"/>
              <w:rPr>
                <w:sz w:val="20"/>
                <w:szCs w:val="20"/>
                <w:color w:val="auto"/>
              </w:rPr>
            </w:pPr>
            <w:r>
              <w:rPr>
                <w:rFonts w:ascii="Arial" w:cs="Arial" w:eastAsia="Arial" w:hAnsi="Arial"/>
                <w:sz w:val="18"/>
                <w:szCs w:val="18"/>
                <w:color w:val="auto"/>
                <w:w w:val="90"/>
              </w:rPr>
              <w:t>/s/ Xiaodong Wang</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80" w:type="dxa"/>
            <w:vAlign w:val="bottom"/>
          </w:tcPr>
          <w:p>
            <w:pPr>
              <w:spacing w:after="0"/>
              <w:rPr>
                <w:sz w:val="19"/>
                <w:szCs w:val="19"/>
                <w:color w:val="auto"/>
              </w:rPr>
            </w:pPr>
          </w:p>
        </w:tc>
        <w:tc>
          <w:tcPr>
            <w:tcW w:w="4300" w:type="dxa"/>
            <w:vAlign w:val="bottom"/>
          </w:tcPr>
          <w:p>
            <w:pPr>
              <w:jc w:val="center"/>
              <w:ind w:left="871"/>
              <w:spacing w:after="0"/>
              <w:rPr>
                <w:sz w:val="20"/>
                <w:szCs w:val="20"/>
                <w:color w:val="auto"/>
              </w:rPr>
            </w:pPr>
            <w:r>
              <w:rPr>
                <w:rFonts w:ascii="Arial" w:cs="Arial" w:eastAsia="Arial" w:hAnsi="Arial"/>
                <w:sz w:val="18"/>
                <w:szCs w:val="18"/>
                <w:color w:val="auto"/>
                <w:w w:val="92"/>
              </w:rPr>
              <w:t>Xiaodong Wang</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3"/>
              </w:rPr>
              <w:t>Chief Financial Officer (principal financial and accounting officer)</w:t>
            </w:r>
          </w:p>
        </w:tc>
      </w:tr>
      <w:tr>
        <w:trPr>
          <w:trHeight w:val="364"/>
        </w:trPr>
        <w:tc>
          <w:tcPr>
            <w:tcW w:w="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540" w:type="dxa"/>
            <w:vAlign w:val="bottom"/>
            <w:gridSpan w:val="3"/>
          </w:tcPr>
          <w:p>
            <w:pPr>
              <w:ind w:left="88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the undersigned, the duly authorized representative in the United States of iQIYI, Inc. has signed this registration statement or amendment thereto in New York, United States on December 15, 2020.</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Authorized U.S. Representative</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Cogency Global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06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7080"/>
        <w:spacing w:after="0"/>
        <w:tabs>
          <w:tab w:leader="none" w:pos="7740" w:val="left"/>
        </w:tabs>
        <w:rPr>
          <w:sz w:val="20"/>
          <w:szCs w:val="20"/>
          <w:color w:val="auto"/>
        </w:rPr>
      </w:pPr>
      <w:r>
        <w:rPr>
          <w:rFonts w:ascii="Arial" w:cs="Arial" w:eastAsia="Arial" w:hAnsi="Arial"/>
          <w:sz w:val="18"/>
          <w:szCs w:val="18"/>
          <w:color w:val="auto"/>
        </w:rPr>
        <w:t>Name:</w:t>
        <w:tab/>
        <w:t>Colleen A. De Vries</w:t>
      </w:r>
    </w:p>
    <w:p>
      <w:pPr>
        <w:spacing w:after="0" w:line="23" w:lineRule="exact"/>
        <w:rPr>
          <w:sz w:val="20"/>
          <w:szCs w:val="20"/>
          <w:color w:val="auto"/>
        </w:rPr>
      </w:pPr>
    </w:p>
    <w:p>
      <w:pPr>
        <w:ind w:left="708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680"/>
          </w:cols>
          <w:pgMar w:left="320" w:top="459" w:right="8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IQIYI,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CITIBANK, N.A.</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5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59"/>
        </w:trPr>
        <w:tc>
          <w:tcPr>
            <w:tcW w:w="980" w:type="dxa"/>
            <w:vAlign w:val="bottom"/>
          </w:tcPr>
          <w:p>
            <w:pPr>
              <w:spacing w:after="0"/>
              <w:rPr>
                <w:sz w:val="24"/>
                <w:szCs w:val="24"/>
                <w:color w:val="auto"/>
              </w:rPr>
            </w:pPr>
          </w:p>
        </w:tc>
        <w:tc>
          <w:tcPr>
            <w:tcW w:w="7580" w:type="dxa"/>
            <w:vAlign w:val="bottom"/>
          </w:tcPr>
          <w:p>
            <w:pPr>
              <w:jc w:val="center"/>
              <w:ind w:left="970"/>
              <w:spacing w:after="0"/>
              <w:rPr>
                <w:sz w:val="20"/>
                <w:szCs w:val="20"/>
                <w:color w:val="auto"/>
              </w:rPr>
            </w:pPr>
            <w:r>
              <w:rPr>
                <w:rFonts w:ascii="Arial" w:cs="Arial" w:eastAsia="Arial" w:hAnsi="Arial"/>
                <w:sz w:val="18"/>
                <w:szCs w:val="18"/>
                <w:color w:val="auto"/>
                <w:w w:val="97"/>
              </w:rPr>
              <w:t>ARTICLE I</w:t>
            </w:r>
          </w:p>
        </w:tc>
        <w:tc>
          <w:tcPr>
            <w:tcW w:w="24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7580" w:type="dxa"/>
            <w:vAlign w:val="bottom"/>
          </w:tcPr>
          <w:p>
            <w:pPr>
              <w:jc w:val="center"/>
              <w:ind w:left="970"/>
              <w:spacing w:after="0"/>
              <w:rPr>
                <w:sz w:val="20"/>
                <w:szCs w:val="20"/>
                <w:color w:val="auto"/>
              </w:rPr>
            </w:pPr>
            <w:r>
              <w:rPr>
                <w:rFonts w:ascii="Arial" w:cs="Arial" w:eastAsia="Arial" w:hAnsi="Arial"/>
                <w:sz w:val="18"/>
                <w:szCs w:val="18"/>
                <w:color w:val="auto"/>
                <w:w w:val="98"/>
              </w:rPr>
              <w:t>DEFINITIONS</w:t>
            </w:r>
          </w:p>
        </w:tc>
        <w:tc>
          <w:tcPr>
            <w:tcW w:w="246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75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1.02  Rules of Construction</w:t>
            </w:r>
          </w:p>
        </w:tc>
        <w:tc>
          <w:tcPr>
            <w:tcW w:w="2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80" w:type="dxa"/>
            <w:vAlign w:val="bottom"/>
          </w:tcPr>
          <w:p>
            <w:pPr>
              <w:spacing w:after="0"/>
              <w:rPr>
                <w:sz w:val="24"/>
                <w:szCs w:val="24"/>
                <w:color w:val="auto"/>
              </w:rPr>
            </w:pPr>
          </w:p>
        </w:tc>
        <w:tc>
          <w:tcPr>
            <w:tcW w:w="7580" w:type="dxa"/>
            <w:vAlign w:val="bottom"/>
          </w:tcPr>
          <w:p>
            <w:pPr>
              <w:jc w:val="center"/>
              <w:ind w:left="970"/>
              <w:spacing w:after="0"/>
              <w:rPr>
                <w:sz w:val="20"/>
                <w:szCs w:val="20"/>
                <w:color w:val="auto"/>
              </w:rPr>
            </w:pPr>
            <w:r>
              <w:rPr>
                <w:rFonts w:ascii="Arial" w:cs="Arial" w:eastAsia="Arial" w:hAnsi="Arial"/>
                <w:sz w:val="18"/>
                <w:szCs w:val="18"/>
                <w:color w:val="auto"/>
              </w:rPr>
              <w:t>ARTICLE II</w:t>
            </w:r>
          </w:p>
        </w:tc>
        <w:tc>
          <w:tcPr>
            <w:tcW w:w="24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7580" w:type="dxa"/>
            <w:vAlign w:val="bottom"/>
          </w:tcPr>
          <w:p>
            <w:pPr>
              <w:jc w:val="center"/>
              <w:ind w:left="970"/>
              <w:spacing w:after="0"/>
              <w:rPr>
                <w:sz w:val="20"/>
                <w:szCs w:val="20"/>
                <w:color w:val="auto"/>
              </w:rPr>
            </w:pPr>
            <w:r>
              <w:rPr>
                <w:rFonts w:ascii="Arial" w:cs="Arial" w:eastAsia="Arial" w:hAnsi="Arial"/>
                <w:sz w:val="18"/>
                <w:szCs w:val="18"/>
                <w:color w:val="auto"/>
                <w:w w:val="94"/>
              </w:rPr>
              <w:t>FORMS OF SECURITIES</w:t>
            </w:r>
          </w:p>
        </w:tc>
        <w:tc>
          <w:tcPr>
            <w:tcW w:w="246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2.01</w:t>
            </w:r>
          </w:p>
        </w:tc>
        <w:tc>
          <w:tcPr>
            <w:tcW w:w="7580" w:type="dxa"/>
            <w:vAlign w:val="bottom"/>
          </w:tcPr>
          <w:p>
            <w:pPr>
              <w:ind w:left="100"/>
              <w:spacing w:after="0"/>
              <w:rPr>
                <w:sz w:val="20"/>
                <w:szCs w:val="20"/>
                <w:color w:val="auto"/>
              </w:rPr>
            </w:pPr>
            <w:r>
              <w:rPr>
                <w:rFonts w:ascii="Arial" w:cs="Arial" w:eastAsia="Arial" w:hAnsi="Arial"/>
                <w:sz w:val="18"/>
                <w:szCs w:val="18"/>
                <w:color w:val="auto"/>
              </w:rPr>
              <w:t>Form Generally</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2.02  Form of Trustee’s Certificate of Authentication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80" w:type="dxa"/>
            <w:vAlign w:val="bottom"/>
          </w:tcPr>
          <w:p>
            <w:pPr>
              <w:spacing w:after="0"/>
              <w:rPr>
                <w:sz w:val="24"/>
                <w:szCs w:val="24"/>
                <w:color w:val="auto"/>
              </w:rPr>
            </w:pPr>
          </w:p>
        </w:tc>
        <w:tc>
          <w:tcPr>
            <w:tcW w:w="7580" w:type="dxa"/>
            <w:vAlign w:val="bottom"/>
          </w:tcPr>
          <w:p>
            <w:pPr>
              <w:jc w:val="center"/>
              <w:ind w:left="970"/>
              <w:spacing w:after="0"/>
              <w:rPr>
                <w:sz w:val="20"/>
                <w:szCs w:val="20"/>
                <w:color w:val="auto"/>
              </w:rPr>
            </w:pPr>
            <w:r>
              <w:rPr>
                <w:rFonts w:ascii="Arial" w:cs="Arial" w:eastAsia="Arial" w:hAnsi="Arial"/>
                <w:sz w:val="18"/>
                <w:szCs w:val="18"/>
                <w:color w:val="auto"/>
                <w:w w:val="99"/>
              </w:rPr>
              <w:t>ARTICLE III</w:t>
            </w:r>
          </w:p>
        </w:tc>
        <w:tc>
          <w:tcPr>
            <w:tcW w:w="24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7580" w:type="dxa"/>
            <w:vAlign w:val="bottom"/>
          </w:tcPr>
          <w:p>
            <w:pPr>
              <w:jc w:val="center"/>
              <w:ind w:left="970"/>
              <w:spacing w:after="0"/>
              <w:rPr>
                <w:sz w:val="20"/>
                <w:szCs w:val="20"/>
                <w:color w:val="auto"/>
              </w:rPr>
            </w:pPr>
            <w:r>
              <w:rPr>
                <w:rFonts w:ascii="Arial" w:cs="Arial" w:eastAsia="Arial" w:hAnsi="Arial"/>
                <w:sz w:val="18"/>
                <w:szCs w:val="18"/>
                <w:color w:val="auto"/>
                <w:w w:val="95"/>
              </w:rPr>
              <w:t>THE DEBT SECURITIES</w:t>
            </w:r>
          </w:p>
        </w:tc>
        <w:tc>
          <w:tcPr>
            <w:tcW w:w="2460" w:type="dxa"/>
            <w:vAlign w:val="bottom"/>
          </w:tcPr>
          <w:p>
            <w:pPr>
              <w:spacing w:after="0"/>
              <w:rPr>
                <w:sz w:val="24"/>
                <w:szCs w:val="24"/>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3.01  Amount Unlimited; Issuable in Series</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3.02</w:t>
            </w:r>
          </w:p>
        </w:tc>
        <w:tc>
          <w:tcPr>
            <w:tcW w:w="7580" w:type="dxa"/>
            <w:vAlign w:val="bottom"/>
          </w:tcPr>
          <w:p>
            <w:pPr>
              <w:ind w:left="100"/>
              <w:spacing w:after="0"/>
              <w:rPr>
                <w:sz w:val="20"/>
                <w:szCs w:val="20"/>
                <w:color w:val="auto"/>
              </w:rPr>
            </w:pPr>
            <w:r>
              <w:rPr>
                <w:rFonts w:ascii="Arial" w:cs="Arial" w:eastAsia="Arial" w:hAnsi="Arial"/>
                <w:sz w:val="18"/>
                <w:szCs w:val="18"/>
                <w:color w:val="auto"/>
              </w:rPr>
              <w:t>Denominations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3.03  Execution, Authentication, Delivery and Dating</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3.04</w:t>
            </w:r>
          </w:p>
        </w:tc>
        <w:tc>
          <w:tcPr>
            <w:tcW w:w="758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3.05</w:t>
            </w:r>
          </w:p>
        </w:tc>
        <w:tc>
          <w:tcPr>
            <w:tcW w:w="7580" w:type="dxa"/>
            <w:vAlign w:val="bottom"/>
          </w:tcPr>
          <w:p>
            <w:pPr>
              <w:ind w:left="100"/>
              <w:spacing w:after="0"/>
              <w:rPr>
                <w:sz w:val="20"/>
                <w:szCs w:val="20"/>
                <w:color w:val="auto"/>
              </w:rPr>
            </w:pPr>
            <w:r>
              <w:rPr>
                <w:rFonts w:ascii="Arial" w:cs="Arial" w:eastAsia="Arial" w:hAnsi="Arial"/>
                <w:sz w:val="18"/>
                <w:szCs w:val="18"/>
                <w:color w:val="auto"/>
              </w:rPr>
              <w:t>Registrar</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3.06  Transfer and Exchange</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3.07  Mutilated, Destroyed, Lost and Stolen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3.08  Payment of Interest; Interest Rights Preserved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3.09</w:t>
            </w:r>
          </w:p>
        </w:tc>
        <w:tc>
          <w:tcPr>
            <w:tcW w:w="758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3.10  Computation of 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3.11  Currency of Payments in Respect of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3.12</w:t>
            </w:r>
          </w:p>
        </w:tc>
        <w:tc>
          <w:tcPr>
            <w:tcW w:w="758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980" w:type="dxa"/>
            <w:vAlign w:val="bottom"/>
          </w:tcPr>
          <w:p>
            <w:pPr>
              <w:spacing w:after="0"/>
              <w:rPr>
                <w:sz w:val="24"/>
                <w:szCs w:val="24"/>
                <w:color w:val="auto"/>
              </w:rPr>
            </w:pPr>
          </w:p>
        </w:tc>
        <w:tc>
          <w:tcPr>
            <w:tcW w:w="7580" w:type="dxa"/>
            <w:vAlign w:val="bottom"/>
          </w:tcPr>
          <w:p>
            <w:pPr>
              <w:ind w:left="4500"/>
              <w:spacing w:after="0"/>
              <w:rPr>
                <w:sz w:val="20"/>
                <w:szCs w:val="20"/>
                <w:color w:val="auto"/>
              </w:rPr>
            </w:pPr>
            <w:r>
              <w:rPr>
                <w:rFonts w:ascii="Arial" w:cs="Arial" w:eastAsia="Arial" w:hAnsi="Arial"/>
                <w:sz w:val="18"/>
                <w:szCs w:val="18"/>
                <w:color w:val="auto"/>
              </w:rPr>
              <w:t>i</w:t>
            </w: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5" w:name="page76"/>
    <w:bookmarkEnd w:id="75"/>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8020" w:type="dxa"/>
            <w:vAlign w:val="bottom"/>
          </w:tcPr>
          <w:p>
            <w:pPr>
              <w:jc w:val="center"/>
              <w:ind w:left="530"/>
              <w:spacing w:after="0"/>
              <w:rPr>
                <w:sz w:val="20"/>
                <w:szCs w:val="20"/>
                <w:color w:val="auto"/>
              </w:rPr>
            </w:pPr>
            <w:r>
              <w:rPr>
                <w:rFonts w:ascii="Arial" w:cs="Arial" w:eastAsia="Arial" w:hAnsi="Arial"/>
                <w:sz w:val="18"/>
                <w:szCs w:val="18"/>
                <w:color w:val="auto"/>
              </w:rPr>
              <w:t>ARTICLE IV</w:t>
            </w:r>
          </w:p>
        </w:tc>
        <w:tc>
          <w:tcPr>
            <w:tcW w:w="1960" w:type="dxa"/>
            <w:vAlign w:val="bottom"/>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8020" w:type="dxa"/>
            <w:vAlign w:val="bottom"/>
          </w:tcPr>
          <w:p>
            <w:pPr>
              <w:jc w:val="center"/>
              <w:ind w:left="550"/>
              <w:spacing w:after="0"/>
              <w:rPr>
                <w:sz w:val="20"/>
                <w:szCs w:val="20"/>
                <w:color w:val="auto"/>
              </w:rPr>
            </w:pPr>
            <w:r>
              <w:rPr>
                <w:rFonts w:ascii="Arial" w:cs="Arial" w:eastAsia="Arial" w:hAnsi="Arial"/>
                <w:sz w:val="18"/>
                <w:szCs w:val="18"/>
                <w:color w:val="auto"/>
                <w:w w:val="95"/>
              </w:rPr>
              <w:t>REDEMPTION OF SECURITIES</w:t>
            </w:r>
          </w:p>
        </w:tc>
        <w:tc>
          <w:tcPr>
            <w:tcW w:w="1960" w:type="dxa"/>
            <w:vAlign w:val="bottom"/>
          </w:tcPr>
          <w:p>
            <w:pPr>
              <w:spacing w:after="0"/>
              <w:rPr>
                <w:sz w:val="24"/>
                <w:szCs w:val="24"/>
                <w:color w:val="auto"/>
              </w:rPr>
            </w:pP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4.01  Applicability of Right of Redemption</w:t>
            </w:r>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4.02  Selection of Securities to be Redeemed</w:t>
            </w:r>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4.03  Notice of Redemption</w:t>
            </w:r>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4.04  Deposit of Redemption Price</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4.05  Securities Payable on Redemption Date</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4.06  Securities Redeemed in Part</w:t>
            </w:r>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4.07</w:t>
            </w:r>
          </w:p>
        </w:tc>
        <w:tc>
          <w:tcPr>
            <w:tcW w:w="8020" w:type="dxa"/>
            <w:vAlign w:val="bottom"/>
          </w:tcPr>
          <w:p>
            <w:pPr>
              <w:ind w:left="100"/>
              <w:spacing w:after="0"/>
              <w:rPr>
                <w:sz w:val="20"/>
                <w:szCs w:val="20"/>
                <w:color w:val="auto"/>
              </w:rPr>
            </w:pPr>
            <w:r>
              <w:rPr>
                <w:rFonts w:ascii="Arial" w:cs="Arial" w:eastAsia="Arial" w:hAnsi="Arial"/>
                <w:sz w:val="18"/>
                <w:szCs w:val="18"/>
                <w:color w:val="auto"/>
              </w:rPr>
              <w:t>Tax Redemption</w:t>
            </w:r>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spacing w:after="0"/>
              <w:rPr>
                <w:sz w:val="24"/>
                <w:szCs w:val="24"/>
                <w:color w:val="auto"/>
              </w:rPr>
            </w:pPr>
          </w:p>
        </w:tc>
        <w:tc>
          <w:tcPr>
            <w:tcW w:w="8020" w:type="dxa"/>
            <w:vAlign w:val="bottom"/>
          </w:tcPr>
          <w:p>
            <w:pPr>
              <w:ind w:left="4040"/>
              <w:spacing w:after="0"/>
              <w:rPr>
                <w:sz w:val="20"/>
                <w:szCs w:val="20"/>
                <w:color w:val="auto"/>
              </w:rPr>
            </w:pPr>
            <w:r>
              <w:rPr>
                <w:rFonts w:ascii="Arial" w:cs="Arial" w:eastAsia="Arial" w:hAnsi="Arial"/>
                <w:sz w:val="18"/>
                <w:szCs w:val="18"/>
                <w:color w:val="auto"/>
              </w:rPr>
              <w:t>ARTICLE V</w:t>
            </w:r>
          </w:p>
        </w:tc>
        <w:tc>
          <w:tcPr>
            <w:tcW w:w="19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020" w:type="dxa"/>
            <w:vAlign w:val="bottom"/>
          </w:tcPr>
          <w:p>
            <w:pPr>
              <w:jc w:val="center"/>
              <w:ind w:left="530"/>
              <w:spacing w:after="0"/>
              <w:rPr>
                <w:sz w:val="20"/>
                <w:szCs w:val="20"/>
                <w:color w:val="auto"/>
              </w:rPr>
            </w:pPr>
            <w:r>
              <w:rPr>
                <w:rFonts w:ascii="Arial" w:cs="Arial" w:eastAsia="Arial" w:hAnsi="Arial"/>
                <w:sz w:val="18"/>
                <w:szCs w:val="18"/>
                <w:color w:val="auto"/>
                <w:w w:val="96"/>
              </w:rPr>
              <w:t>SINKING FUNDS</w:t>
            </w:r>
          </w:p>
        </w:tc>
        <w:tc>
          <w:tcPr>
            <w:tcW w:w="1960" w:type="dxa"/>
            <w:vAlign w:val="bottom"/>
          </w:tcPr>
          <w:p>
            <w:pPr>
              <w:spacing w:after="0"/>
              <w:rPr>
                <w:sz w:val="24"/>
                <w:szCs w:val="24"/>
                <w:color w:val="auto"/>
              </w:rPr>
            </w:pP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5.01  Applicability of Sinking Fund</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5.02  Mandatory Sinking Fund Obligation</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5.03  Optional Redemption at Sinking Fund Redemption Price</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5.04  Application of Sinking Fund Payment</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spacing w:after="0"/>
              <w:rPr>
                <w:sz w:val="24"/>
                <w:szCs w:val="24"/>
                <w:color w:val="auto"/>
              </w:rPr>
            </w:pPr>
          </w:p>
        </w:tc>
        <w:tc>
          <w:tcPr>
            <w:tcW w:w="8020" w:type="dxa"/>
            <w:vAlign w:val="bottom"/>
          </w:tcPr>
          <w:p>
            <w:pPr>
              <w:jc w:val="center"/>
              <w:ind w:left="530"/>
              <w:spacing w:after="0"/>
              <w:rPr>
                <w:sz w:val="20"/>
                <w:szCs w:val="20"/>
                <w:color w:val="auto"/>
              </w:rPr>
            </w:pPr>
            <w:r>
              <w:rPr>
                <w:rFonts w:ascii="Arial" w:cs="Arial" w:eastAsia="Arial" w:hAnsi="Arial"/>
                <w:sz w:val="18"/>
                <w:szCs w:val="18"/>
                <w:color w:val="auto"/>
              </w:rPr>
              <w:t>ARTICLE VI</w:t>
            </w:r>
          </w:p>
        </w:tc>
        <w:tc>
          <w:tcPr>
            <w:tcW w:w="19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020" w:type="dxa"/>
            <w:vAlign w:val="bottom"/>
          </w:tcPr>
          <w:p>
            <w:pPr>
              <w:jc w:val="center"/>
              <w:ind w:left="530"/>
              <w:spacing w:after="0"/>
              <w:rPr>
                <w:sz w:val="20"/>
                <w:szCs w:val="20"/>
                <w:color w:val="auto"/>
              </w:rPr>
            </w:pPr>
            <w:r>
              <w:rPr>
                <w:rFonts w:ascii="Arial" w:cs="Arial" w:eastAsia="Arial" w:hAnsi="Arial"/>
                <w:sz w:val="18"/>
                <w:szCs w:val="18"/>
                <w:color w:val="auto"/>
                <w:w w:val="96"/>
              </w:rPr>
              <w:t>PARTICULAR COVENANTS OF THE COMPANY</w:t>
            </w:r>
          </w:p>
        </w:tc>
        <w:tc>
          <w:tcPr>
            <w:tcW w:w="1960" w:type="dxa"/>
            <w:vAlign w:val="bottom"/>
          </w:tcPr>
          <w:p>
            <w:pPr>
              <w:spacing w:after="0"/>
              <w:rPr>
                <w:sz w:val="24"/>
                <w:szCs w:val="24"/>
                <w:color w:val="auto"/>
              </w:rPr>
            </w:pP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6.01  Payments of Principal, Premium and Interest</w:t>
            </w:r>
          </w:p>
        </w:tc>
        <w:tc>
          <w:tcPr>
            <w:tcW w:w="1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6.02  Maintenance of Office or Agency; Paying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6.03  To Hold Payment in Trust</w:t>
            </w: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6.04  Merger, Consolidation and Sale of Assets</w:t>
            </w:r>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6.05</w:t>
            </w:r>
          </w:p>
        </w:tc>
        <w:tc>
          <w:tcPr>
            <w:tcW w:w="8020" w:type="dxa"/>
            <w:vAlign w:val="bottom"/>
          </w:tcPr>
          <w:p>
            <w:pPr>
              <w:ind w:left="100"/>
              <w:spacing w:after="0"/>
              <w:rPr>
                <w:sz w:val="20"/>
                <w:szCs w:val="20"/>
                <w:color w:val="auto"/>
              </w:rPr>
            </w:pPr>
            <w:r>
              <w:rPr>
                <w:rFonts w:ascii="Arial" w:cs="Arial" w:eastAsia="Arial" w:hAnsi="Arial"/>
                <w:sz w:val="18"/>
                <w:szCs w:val="18"/>
                <w:color w:val="auto"/>
              </w:rPr>
              <w:t>Additional Amounts</w:t>
            </w:r>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6.06  Payment for Consent</w:t>
            </w: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6.07</w:t>
            </w:r>
          </w:p>
        </w:tc>
        <w:tc>
          <w:tcPr>
            <w:tcW w:w="802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6.08  Conditional Waiver by Holders of Securities</w:t>
            </w: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Section 6.09  Statement by Officers as to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65"/>
        </w:trPr>
        <w:tc>
          <w:tcPr>
            <w:tcW w:w="980" w:type="dxa"/>
            <w:vAlign w:val="bottom"/>
          </w:tcPr>
          <w:p>
            <w:pPr>
              <w:spacing w:after="0"/>
              <w:rPr>
                <w:sz w:val="24"/>
                <w:szCs w:val="24"/>
                <w:color w:val="auto"/>
              </w:rPr>
            </w:pPr>
          </w:p>
        </w:tc>
        <w:tc>
          <w:tcPr>
            <w:tcW w:w="8020" w:type="dxa"/>
            <w:vAlign w:val="bottom"/>
          </w:tcPr>
          <w:p>
            <w:pPr>
              <w:ind w:left="4480"/>
              <w:spacing w:after="0"/>
              <w:rPr>
                <w:sz w:val="20"/>
                <w:szCs w:val="20"/>
                <w:color w:val="auto"/>
              </w:rPr>
            </w:pPr>
            <w:r>
              <w:rPr>
                <w:rFonts w:ascii="Arial" w:cs="Arial" w:eastAsia="Arial" w:hAnsi="Arial"/>
                <w:sz w:val="18"/>
                <w:szCs w:val="18"/>
                <w:color w:val="auto"/>
              </w:rPr>
              <w:t>ii</w:t>
            </w:r>
          </w:p>
        </w:tc>
        <w:tc>
          <w:tcPr>
            <w:tcW w:w="1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6" w:name="page77"/>
    <w:bookmarkEnd w:id="76"/>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8100" w:type="dxa"/>
            <w:vAlign w:val="bottom"/>
          </w:tcPr>
          <w:p>
            <w:pPr>
              <w:jc w:val="center"/>
              <w:ind w:left="450"/>
              <w:spacing w:after="0"/>
              <w:rPr>
                <w:sz w:val="20"/>
                <w:szCs w:val="20"/>
                <w:color w:val="auto"/>
              </w:rPr>
            </w:pPr>
            <w:r>
              <w:rPr>
                <w:rFonts w:ascii="Arial" w:cs="Arial" w:eastAsia="Arial" w:hAnsi="Arial"/>
                <w:sz w:val="18"/>
                <w:szCs w:val="18"/>
                <w:color w:val="auto"/>
              </w:rPr>
              <w:t>ARTICLE VII</w:t>
            </w:r>
          </w:p>
        </w:tc>
        <w:tc>
          <w:tcPr>
            <w:tcW w:w="1880" w:type="dxa"/>
            <w:vAlign w:val="bottom"/>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Arial" w:cs="Arial" w:eastAsia="Arial" w:hAnsi="Arial"/>
                <w:sz w:val="18"/>
                <w:szCs w:val="18"/>
                <w:color w:val="auto"/>
                <w:w w:val="95"/>
              </w:rPr>
              <w:t>REMEDIES OF TRUSTEE AND SECURITYHOLDERS</w:t>
            </w:r>
          </w:p>
        </w:tc>
        <w:tc>
          <w:tcPr>
            <w:tcW w:w="1880" w:type="dxa"/>
            <w:vAlign w:val="bottom"/>
          </w:tcPr>
          <w:p>
            <w:pPr>
              <w:spacing w:after="0"/>
              <w:rPr>
                <w:sz w:val="24"/>
                <w:szCs w:val="24"/>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7.01  Events of Default</w:t>
            </w: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7.02  Acceleration; Rescission and Annulment</w:t>
            </w:r>
          </w:p>
        </w:tc>
        <w:tc>
          <w:tcPr>
            <w:tcW w:w="1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7.03</w:t>
            </w:r>
          </w:p>
        </w:tc>
        <w:tc>
          <w:tcPr>
            <w:tcW w:w="810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7.04  Trustee as Attorney-in-Fact</w:t>
            </w: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7.05</w:t>
            </w:r>
          </w:p>
        </w:tc>
        <w:tc>
          <w:tcPr>
            <w:tcW w:w="810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7.06  Control by Securityholders; Waiver of Past Defaults</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7.07  Limitation on Suits</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7.08  Undertaking for Costs</w:t>
            </w: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7.09  Remedies Cumulative; Delay or Omission Not Waiver</w:t>
            </w: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Arial" w:cs="Arial" w:eastAsia="Arial" w:hAnsi="Arial"/>
                <w:sz w:val="18"/>
                <w:szCs w:val="18"/>
                <w:color w:val="auto"/>
              </w:rPr>
              <w:t>ARTICLE VIII</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Arial" w:cs="Arial" w:eastAsia="Arial" w:hAnsi="Arial"/>
                <w:sz w:val="18"/>
                <w:szCs w:val="18"/>
                <w:color w:val="auto"/>
                <w:w w:val="95"/>
              </w:rPr>
              <w:t>CONCERNING THE SECURITYHOLDERS</w:t>
            </w:r>
          </w:p>
        </w:tc>
        <w:tc>
          <w:tcPr>
            <w:tcW w:w="1880" w:type="dxa"/>
            <w:vAlign w:val="bottom"/>
          </w:tcPr>
          <w:p>
            <w:pPr>
              <w:spacing w:after="0"/>
              <w:rPr>
                <w:sz w:val="24"/>
                <w:szCs w:val="24"/>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8.01  Evidence of Action of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8.02  Proof of Execution or Holding of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8.03  Persons Deemed Owners</w:t>
            </w:r>
          </w:p>
        </w:tc>
        <w:tc>
          <w:tcPr>
            <w:tcW w:w="1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8.04  Effect of Consents</w:t>
            </w:r>
          </w:p>
        </w:tc>
        <w:tc>
          <w:tcPr>
            <w:tcW w:w="1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Arial" w:cs="Arial" w:eastAsia="Arial" w:hAnsi="Arial"/>
                <w:sz w:val="18"/>
                <w:szCs w:val="18"/>
                <w:color w:val="auto"/>
              </w:rPr>
              <w:t>ARTICLE IX</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Arial" w:cs="Arial" w:eastAsia="Arial" w:hAnsi="Arial"/>
                <w:sz w:val="18"/>
                <w:szCs w:val="18"/>
                <w:color w:val="auto"/>
                <w:w w:val="96"/>
              </w:rPr>
              <w:t>SECURITYHOLDERS’ MEETINGS</w:t>
            </w:r>
          </w:p>
        </w:tc>
        <w:tc>
          <w:tcPr>
            <w:tcW w:w="1880" w:type="dxa"/>
            <w:vAlign w:val="bottom"/>
          </w:tcPr>
          <w:p>
            <w:pPr>
              <w:spacing w:after="0"/>
              <w:rPr>
                <w:sz w:val="24"/>
                <w:szCs w:val="24"/>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9.01  Purposes of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9.02  Call of Meetings by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9.03  Call of Meetings by Company or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9.04  Qualifications for Voting</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9.05  Regulation of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5"/>
              </w:rPr>
              <w:t>Section 9.06</w:t>
            </w:r>
          </w:p>
        </w:tc>
        <w:tc>
          <w:tcPr>
            <w:tcW w:w="8100" w:type="dxa"/>
            <w:vAlign w:val="bottom"/>
          </w:tcPr>
          <w:p>
            <w:pPr>
              <w:ind w:left="100"/>
              <w:spacing w:after="0"/>
              <w:rPr>
                <w:sz w:val="20"/>
                <w:szCs w:val="20"/>
                <w:color w:val="auto"/>
              </w:rPr>
            </w:pPr>
            <w:r>
              <w:rPr>
                <w:rFonts w:ascii="Arial" w:cs="Arial" w:eastAsia="Arial" w:hAnsi="Arial"/>
                <w:sz w:val="18"/>
                <w:szCs w:val="18"/>
                <w:color w:val="auto"/>
              </w:rPr>
              <w:t>Voting</w:t>
            </w:r>
          </w:p>
        </w:tc>
        <w:tc>
          <w:tcPr>
            <w:tcW w:w="1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Section 9.07  No Delay of Rights by Meeting</w:t>
            </w: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980" w:type="dxa"/>
            <w:vAlign w:val="bottom"/>
          </w:tcPr>
          <w:p>
            <w:pPr>
              <w:spacing w:after="0"/>
              <w:rPr>
                <w:sz w:val="24"/>
                <w:szCs w:val="24"/>
                <w:color w:val="auto"/>
              </w:rPr>
            </w:pPr>
          </w:p>
        </w:tc>
        <w:tc>
          <w:tcPr>
            <w:tcW w:w="8100" w:type="dxa"/>
            <w:vAlign w:val="bottom"/>
          </w:tcPr>
          <w:p>
            <w:pPr>
              <w:ind w:left="4440"/>
              <w:spacing w:after="0"/>
              <w:rPr>
                <w:sz w:val="20"/>
                <w:szCs w:val="20"/>
                <w:color w:val="auto"/>
              </w:rPr>
            </w:pPr>
            <w:r>
              <w:rPr>
                <w:rFonts w:ascii="Arial" w:cs="Arial" w:eastAsia="Arial" w:hAnsi="Arial"/>
                <w:sz w:val="18"/>
                <w:szCs w:val="18"/>
                <w:color w:val="auto"/>
              </w:rPr>
              <w:t>iii</w:t>
            </w: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7" w:name="page78"/>
    <w:bookmarkEnd w:id="77"/>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8080" w:type="dxa"/>
            <w:vAlign w:val="bottom"/>
          </w:tcPr>
          <w:p>
            <w:pPr>
              <w:jc w:val="center"/>
              <w:ind w:left="270"/>
              <w:spacing w:after="0"/>
              <w:rPr>
                <w:sz w:val="20"/>
                <w:szCs w:val="20"/>
                <w:color w:val="auto"/>
              </w:rPr>
            </w:pPr>
            <w:r>
              <w:rPr>
                <w:rFonts w:ascii="Arial" w:cs="Arial" w:eastAsia="Arial" w:hAnsi="Arial"/>
                <w:sz w:val="18"/>
                <w:szCs w:val="18"/>
                <w:color w:val="auto"/>
                <w:w w:val="98"/>
              </w:rPr>
              <w:t>ARTICLE X</w:t>
            </w:r>
          </w:p>
        </w:tc>
        <w:tc>
          <w:tcPr>
            <w:tcW w:w="1800" w:type="dxa"/>
            <w:vAlign w:val="bottom"/>
          </w:tcPr>
          <w:p>
            <w:pPr>
              <w:spacing w:after="0"/>
              <w:rPr>
                <w:sz w:val="20"/>
                <w:szCs w:val="20"/>
                <w:color w:val="auto"/>
              </w:rPr>
            </w:pPr>
          </w:p>
        </w:tc>
      </w:tr>
      <w:tr>
        <w:trPr>
          <w:trHeight w:val="310"/>
        </w:trPr>
        <w:tc>
          <w:tcPr>
            <w:tcW w:w="1080" w:type="dxa"/>
            <w:vAlign w:val="bottom"/>
          </w:tcPr>
          <w:p>
            <w:pPr>
              <w:spacing w:after="0"/>
              <w:rPr>
                <w:sz w:val="24"/>
                <w:szCs w:val="24"/>
                <w:color w:val="auto"/>
              </w:rPr>
            </w:pPr>
          </w:p>
        </w:tc>
        <w:tc>
          <w:tcPr>
            <w:tcW w:w="8080" w:type="dxa"/>
            <w:vAlign w:val="bottom"/>
          </w:tcPr>
          <w:p>
            <w:pPr>
              <w:jc w:val="center"/>
              <w:ind w:left="270"/>
              <w:spacing w:after="0"/>
              <w:rPr>
                <w:sz w:val="20"/>
                <w:szCs w:val="20"/>
                <w:color w:val="auto"/>
              </w:rPr>
            </w:pPr>
            <w:r>
              <w:rPr>
                <w:rFonts w:ascii="Arial" w:cs="Arial" w:eastAsia="Arial" w:hAnsi="Arial"/>
                <w:sz w:val="18"/>
                <w:szCs w:val="18"/>
                <w:color w:val="auto"/>
                <w:w w:val="95"/>
              </w:rPr>
              <w:t>REPORTS BY THE COMPANY AND THE TRUSTEE AND</w:t>
            </w:r>
          </w:p>
        </w:tc>
        <w:tc>
          <w:tcPr>
            <w:tcW w:w="180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080" w:type="dxa"/>
            <w:vAlign w:val="bottom"/>
          </w:tcPr>
          <w:p>
            <w:pPr>
              <w:jc w:val="center"/>
              <w:ind w:left="270"/>
              <w:spacing w:after="0"/>
              <w:rPr>
                <w:sz w:val="20"/>
                <w:szCs w:val="20"/>
                <w:color w:val="auto"/>
              </w:rPr>
            </w:pPr>
            <w:r>
              <w:rPr>
                <w:rFonts w:ascii="Arial" w:cs="Arial" w:eastAsia="Arial" w:hAnsi="Arial"/>
                <w:sz w:val="18"/>
                <w:szCs w:val="18"/>
                <w:color w:val="auto"/>
                <w:w w:val="96"/>
              </w:rPr>
              <w:t>SECURITYHOLDERS’ LISTS</w:t>
            </w:r>
          </w:p>
        </w:tc>
        <w:tc>
          <w:tcPr>
            <w:tcW w:w="1800" w:type="dxa"/>
            <w:vAlign w:val="bottom"/>
          </w:tcPr>
          <w:p>
            <w:pPr>
              <w:spacing w:after="0"/>
              <w:rPr>
                <w:sz w:val="20"/>
                <w:szCs w:val="20"/>
                <w:color w:val="auto"/>
              </w:rPr>
            </w:pP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10.01  Reports by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10.02  Reports by the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10.03</w:t>
            </w:r>
          </w:p>
        </w:tc>
        <w:tc>
          <w:tcPr>
            <w:tcW w:w="8080" w:type="dxa"/>
            <w:vAlign w:val="bottom"/>
          </w:tcPr>
          <w:p>
            <w:pPr>
              <w:ind w:left="100"/>
              <w:spacing w:after="0"/>
              <w:rPr>
                <w:sz w:val="20"/>
                <w:szCs w:val="20"/>
                <w:color w:val="auto"/>
              </w:rPr>
            </w:pPr>
            <w:r>
              <w:rPr>
                <w:rFonts w:ascii="Arial" w:cs="Arial" w:eastAsia="Arial" w:hAnsi="Arial"/>
                <w:sz w:val="18"/>
                <w:szCs w:val="18"/>
                <w:color w:val="auto"/>
              </w:rPr>
              <w:t>Securityholders’ Lists</w:t>
            </w: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80" w:type="dxa"/>
            <w:vAlign w:val="bottom"/>
          </w:tcPr>
          <w:p>
            <w:pPr>
              <w:spacing w:after="0"/>
              <w:rPr>
                <w:sz w:val="24"/>
                <w:szCs w:val="24"/>
                <w:color w:val="auto"/>
              </w:rPr>
            </w:pPr>
          </w:p>
        </w:tc>
        <w:tc>
          <w:tcPr>
            <w:tcW w:w="8080" w:type="dxa"/>
            <w:vAlign w:val="bottom"/>
          </w:tcPr>
          <w:p>
            <w:pPr>
              <w:jc w:val="center"/>
              <w:ind w:left="270"/>
              <w:spacing w:after="0"/>
              <w:rPr>
                <w:sz w:val="20"/>
                <w:szCs w:val="20"/>
                <w:color w:val="auto"/>
              </w:rPr>
            </w:pPr>
            <w:r>
              <w:rPr>
                <w:rFonts w:ascii="Arial" w:cs="Arial" w:eastAsia="Arial" w:hAnsi="Arial"/>
                <w:sz w:val="18"/>
                <w:szCs w:val="18"/>
                <w:color w:val="auto"/>
              </w:rPr>
              <w:t>ARTICLE XI</w:t>
            </w:r>
          </w:p>
        </w:tc>
        <w:tc>
          <w:tcPr>
            <w:tcW w:w="18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80" w:type="dxa"/>
            <w:vAlign w:val="bottom"/>
          </w:tcPr>
          <w:p>
            <w:pPr>
              <w:jc w:val="center"/>
              <w:ind w:left="270"/>
              <w:spacing w:after="0"/>
              <w:rPr>
                <w:sz w:val="20"/>
                <w:szCs w:val="20"/>
                <w:color w:val="auto"/>
              </w:rPr>
            </w:pPr>
            <w:r>
              <w:rPr>
                <w:rFonts w:ascii="Arial" w:cs="Arial" w:eastAsia="Arial" w:hAnsi="Arial"/>
                <w:sz w:val="18"/>
                <w:szCs w:val="18"/>
                <w:color w:val="auto"/>
                <w:w w:val="94"/>
              </w:rPr>
              <w:t>CONCERNING THE TRUSTEE</w:t>
            </w:r>
          </w:p>
        </w:tc>
        <w:tc>
          <w:tcPr>
            <w:tcW w:w="1800" w:type="dxa"/>
            <w:vAlign w:val="bottom"/>
          </w:tcPr>
          <w:p>
            <w:pPr>
              <w:spacing w:after="0"/>
              <w:rPr>
                <w:sz w:val="24"/>
                <w:szCs w:val="24"/>
                <w:color w:val="auto"/>
              </w:rPr>
            </w:pP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11.01   Rights of Trustees; Compensation and Indemnity</w:t>
            </w: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11.02   Duties of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11.03   Notice of Defaults</w:t>
            </w: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11.04</w:t>
            </w:r>
          </w:p>
        </w:tc>
        <w:tc>
          <w:tcPr>
            <w:tcW w:w="808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11.05   Resignation and Notice; Removal</w:t>
            </w: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11.06   Successor Trustee by Appointment</w:t>
            </w:r>
          </w:p>
        </w:tc>
        <w:tc>
          <w:tcPr>
            <w:tcW w:w="1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11.07   Successor Trustee by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11.08   Right to Rely on Officers’ Certificate</w:t>
            </w:r>
          </w:p>
        </w:tc>
        <w:tc>
          <w:tcPr>
            <w:tcW w:w="1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11.09   Communications by Securityholders with Other Securityholders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080" w:type="dxa"/>
            <w:vAlign w:val="bottom"/>
          </w:tcPr>
          <w:p>
            <w:pPr>
              <w:spacing w:after="0"/>
              <w:rPr>
                <w:sz w:val="24"/>
                <w:szCs w:val="24"/>
                <w:color w:val="auto"/>
              </w:rPr>
            </w:pPr>
          </w:p>
        </w:tc>
        <w:tc>
          <w:tcPr>
            <w:tcW w:w="8080" w:type="dxa"/>
            <w:vAlign w:val="bottom"/>
          </w:tcPr>
          <w:p>
            <w:pPr>
              <w:jc w:val="center"/>
              <w:ind w:left="270"/>
              <w:spacing w:after="0"/>
              <w:rPr>
                <w:sz w:val="20"/>
                <w:szCs w:val="20"/>
                <w:color w:val="auto"/>
              </w:rPr>
            </w:pPr>
            <w:r>
              <w:rPr>
                <w:rFonts w:ascii="Arial" w:cs="Arial" w:eastAsia="Arial" w:hAnsi="Arial"/>
                <w:sz w:val="18"/>
                <w:szCs w:val="18"/>
                <w:color w:val="auto"/>
              </w:rPr>
              <w:t>ARTICLE XII</w:t>
            </w:r>
          </w:p>
        </w:tc>
        <w:tc>
          <w:tcPr>
            <w:tcW w:w="18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80" w:type="dxa"/>
            <w:vAlign w:val="bottom"/>
          </w:tcPr>
          <w:p>
            <w:pPr>
              <w:jc w:val="center"/>
              <w:ind w:left="290"/>
              <w:spacing w:after="0"/>
              <w:rPr>
                <w:sz w:val="20"/>
                <w:szCs w:val="20"/>
                <w:color w:val="auto"/>
              </w:rPr>
            </w:pPr>
            <w:r>
              <w:rPr>
                <w:rFonts w:ascii="Arial" w:cs="Arial" w:eastAsia="Arial" w:hAnsi="Arial"/>
                <w:sz w:val="18"/>
                <w:szCs w:val="18"/>
                <w:color w:val="auto"/>
                <w:w w:val="96"/>
              </w:rPr>
              <w:t>SATISFACTION AND DISCHARGE; DEFEASANCE</w:t>
            </w:r>
          </w:p>
        </w:tc>
        <w:tc>
          <w:tcPr>
            <w:tcW w:w="1800" w:type="dxa"/>
            <w:vAlign w:val="bottom"/>
          </w:tcPr>
          <w:p>
            <w:pPr>
              <w:spacing w:after="0"/>
              <w:rPr>
                <w:sz w:val="24"/>
                <w:szCs w:val="24"/>
                <w:color w:val="auto"/>
              </w:rPr>
            </w:pP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12.01  Applicability of Article</w:t>
            </w:r>
          </w:p>
        </w:tc>
        <w:tc>
          <w:tcPr>
            <w:tcW w:w="1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12.02  Satisfaction and Discharge of Indenture</w:t>
            </w:r>
          </w:p>
        </w:tc>
        <w:tc>
          <w:tcPr>
            <w:tcW w:w="1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12.03  Defeasance upon Deposit of Moneys or U.S. Government Obligations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12.04  Repayment to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12.05  Indemnity for U.S. Government Obligations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12.06  Deposits to Be Held in Escrow</w:t>
            </w:r>
          </w:p>
        </w:tc>
        <w:tc>
          <w:tcPr>
            <w:tcW w:w="1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12.07  Application of Trust Money</w:t>
            </w:r>
          </w:p>
        </w:tc>
        <w:tc>
          <w:tcPr>
            <w:tcW w:w="1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160" w:type="dxa"/>
            <w:vAlign w:val="bottom"/>
            <w:gridSpan w:val="2"/>
          </w:tcPr>
          <w:p>
            <w:pPr>
              <w:spacing w:after="0"/>
              <w:rPr>
                <w:sz w:val="20"/>
                <w:szCs w:val="20"/>
                <w:color w:val="auto"/>
              </w:rPr>
            </w:pPr>
            <w:r>
              <w:rPr>
                <w:rFonts w:ascii="Arial" w:cs="Arial" w:eastAsia="Arial" w:hAnsi="Arial"/>
                <w:sz w:val="18"/>
                <w:szCs w:val="18"/>
                <w:color w:val="auto"/>
              </w:rPr>
              <w:t>Section 12.08  Deposits of Non-U.S. Currencies</w:t>
            </w:r>
          </w:p>
        </w:tc>
        <w:tc>
          <w:tcPr>
            <w:tcW w:w="1800" w:type="dxa"/>
            <w:vAlign w:val="bottom"/>
          </w:tcPr>
          <w:p>
            <w:pPr>
              <w:spacing w:after="0"/>
              <w:rPr>
                <w:sz w:val="24"/>
                <w:szCs w:val="24"/>
                <w:color w:val="auto"/>
              </w:rPr>
            </w:pPr>
          </w:p>
        </w:tc>
      </w:tr>
      <w:tr>
        <w:trPr>
          <w:trHeight w:val="365"/>
        </w:trPr>
        <w:tc>
          <w:tcPr>
            <w:tcW w:w="1080" w:type="dxa"/>
            <w:vAlign w:val="bottom"/>
          </w:tcPr>
          <w:p>
            <w:pPr>
              <w:spacing w:after="0"/>
              <w:rPr>
                <w:sz w:val="24"/>
                <w:szCs w:val="24"/>
                <w:color w:val="auto"/>
              </w:rPr>
            </w:pPr>
          </w:p>
        </w:tc>
        <w:tc>
          <w:tcPr>
            <w:tcW w:w="8080" w:type="dxa"/>
            <w:vAlign w:val="bottom"/>
          </w:tcPr>
          <w:p>
            <w:pPr>
              <w:ind w:left="4360"/>
              <w:spacing w:after="0"/>
              <w:rPr>
                <w:sz w:val="20"/>
                <w:szCs w:val="20"/>
                <w:color w:val="auto"/>
              </w:rPr>
            </w:pPr>
            <w:r>
              <w:rPr>
                <w:rFonts w:ascii="Arial" w:cs="Arial" w:eastAsia="Arial" w:hAnsi="Arial"/>
                <w:sz w:val="18"/>
                <w:szCs w:val="18"/>
                <w:color w:val="auto"/>
              </w:rPr>
              <w:t>iv</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8" w:name="page79"/>
    <w:bookmarkEnd w:id="78"/>
    <w:tbl>
      <w:tblPr>
        <w:tblLayout w:type="fixed"/>
        <w:tblInd w:w="0" w:type="dxa"/>
        <w:tblCellMar>
          <w:top w:w="0" w:type="dxa"/>
          <w:left w:w="0" w:type="dxa"/>
          <w:bottom w:w="0" w:type="dxa"/>
          <w:right w:w="0" w:type="dxa"/>
        </w:tblCellMar>
      </w:tblPr>
      <w:tr>
        <w:trPr>
          <w:trHeight w:val="230"/>
        </w:trPr>
        <w:tc>
          <w:tcPr>
            <w:tcW w:w="9120" w:type="dxa"/>
            <w:vAlign w:val="bottom"/>
          </w:tcPr>
          <w:p>
            <w:pPr>
              <w:jc w:val="center"/>
              <w:ind w:left="1390"/>
              <w:spacing w:after="0"/>
              <w:rPr>
                <w:sz w:val="20"/>
                <w:szCs w:val="20"/>
                <w:color w:val="auto"/>
              </w:rPr>
            </w:pPr>
            <w:r>
              <w:rPr>
                <w:rFonts w:ascii="Arial" w:cs="Arial" w:eastAsia="Arial" w:hAnsi="Arial"/>
                <w:sz w:val="18"/>
                <w:szCs w:val="18"/>
                <w:color w:val="auto"/>
              </w:rPr>
              <w:t>ARTICLE XIII</w:t>
            </w:r>
          </w:p>
        </w:tc>
        <w:tc>
          <w:tcPr>
            <w:tcW w:w="1840" w:type="dxa"/>
            <w:vAlign w:val="bottom"/>
          </w:tcPr>
          <w:p>
            <w:pPr>
              <w:spacing w:after="0"/>
              <w:rPr>
                <w:sz w:val="20"/>
                <w:szCs w:val="20"/>
                <w:color w:val="auto"/>
              </w:rPr>
            </w:pPr>
          </w:p>
        </w:tc>
      </w:tr>
      <w:tr>
        <w:trPr>
          <w:trHeight w:val="324"/>
        </w:trPr>
        <w:tc>
          <w:tcPr>
            <w:tcW w:w="9120" w:type="dxa"/>
            <w:vAlign w:val="bottom"/>
          </w:tcPr>
          <w:p>
            <w:pPr>
              <w:jc w:val="center"/>
              <w:ind w:left="1390"/>
              <w:spacing w:after="0"/>
              <w:rPr>
                <w:sz w:val="20"/>
                <w:szCs w:val="20"/>
                <w:color w:val="auto"/>
              </w:rPr>
            </w:pPr>
            <w:r>
              <w:rPr>
                <w:rFonts w:ascii="Arial" w:cs="Arial" w:eastAsia="Arial" w:hAnsi="Arial"/>
                <w:sz w:val="18"/>
                <w:szCs w:val="18"/>
                <w:color w:val="auto"/>
                <w:w w:val="95"/>
              </w:rPr>
              <w:t>IMMUNITY OF CERTAIN PERSONS</w:t>
            </w:r>
          </w:p>
        </w:tc>
        <w:tc>
          <w:tcPr>
            <w:tcW w:w="1840" w:type="dxa"/>
            <w:vAlign w:val="bottom"/>
          </w:tcPr>
          <w:p>
            <w:pPr>
              <w:spacing w:after="0"/>
              <w:rPr>
                <w:sz w:val="24"/>
                <w:szCs w:val="24"/>
                <w:color w:val="auto"/>
              </w:rPr>
            </w:pP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13.01  No Personal 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120" w:type="dxa"/>
            <w:vAlign w:val="bottom"/>
          </w:tcPr>
          <w:p>
            <w:pPr>
              <w:jc w:val="center"/>
              <w:ind w:left="1390"/>
              <w:spacing w:after="0"/>
              <w:rPr>
                <w:sz w:val="20"/>
                <w:szCs w:val="20"/>
                <w:color w:val="auto"/>
              </w:rPr>
            </w:pPr>
            <w:r>
              <w:rPr>
                <w:rFonts w:ascii="Arial" w:cs="Arial" w:eastAsia="Arial" w:hAnsi="Arial"/>
                <w:sz w:val="18"/>
                <w:szCs w:val="18"/>
                <w:color w:val="auto"/>
              </w:rPr>
              <w:t>ARTICLE XIV</w:t>
            </w:r>
          </w:p>
        </w:tc>
        <w:tc>
          <w:tcPr>
            <w:tcW w:w="1840" w:type="dxa"/>
            <w:vAlign w:val="bottom"/>
          </w:tcPr>
          <w:p>
            <w:pPr>
              <w:spacing w:after="0"/>
              <w:rPr>
                <w:sz w:val="24"/>
                <w:szCs w:val="24"/>
                <w:color w:val="auto"/>
              </w:rPr>
            </w:pPr>
          </w:p>
        </w:tc>
      </w:tr>
      <w:tr>
        <w:trPr>
          <w:trHeight w:val="324"/>
        </w:trPr>
        <w:tc>
          <w:tcPr>
            <w:tcW w:w="9120" w:type="dxa"/>
            <w:vAlign w:val="bottom"/>
          </w:tcPr>
          <w:p>
            <w:pPr>
              <w:jc w:val="center"/>
              <w:ind w:left="1390"/>
              <w:spacing w:after="0"/>
              <w:rPr>
                <w:sz w:val="20"/>
                <w:szCs w:val="20"/>
                <w:color w:val="auto"/>
              </w:rPr>
            </w:pPr>
            <w:r>
              <w:rPr>
                <w:rFonts w:ascii="Arial" w:cs="Arial" w:eastAsia="Arial" w:hAnsi="Arial"/>
                <w:sz w:val="18"/>
                <w:szCs w:val="18"/>
                <w:color w:val="auto"/>
                <w:w w:val="96"/>
              </w:rPr>
              <w:t>SUPPLEMENTAL INDENTURES</w:t>
            </w:r>
          </w:p>
        </w:tc>
        <w:tc>
          <w:tcPr>
            <w:tcW w:w="1840" w:type="dxa"/>
            <w:vAlign w:val="bottom"/>
          </w:tcPr>
          <w:p>
            <w:pPr>
              <w:spacing w:after="0"/>
              <w:rPr>
                <w:sz w:val="24"/>
                <w:szCs w:val="24"/>
                <w:color w:val="auto"/>
              </w:rPr>
            </w:pP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14.01  Without Consent of Securityholders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14.02  With Consent of Securityholders; Limitations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14.03  Trustee Protected</w:t>
            </w:r>
          </w:p>
        </w:tc>
        <w:tc>
          <w:tcPr>
            <w:tcW w:w="1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14.04  Effect of Execution of Supplemental Indenture</w:t>
            </w:r>
          </w:p>
        </w:tc>
        <w:tc>
          <w:tcPr>
            <w:tcW w:w="1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14.05  Notation on or Exchange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14.06  Conformity with TIA</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120" w:type="dxa"/>
            <w:vAlign w:val="bottom"/>
          </w:tcPr>
          <w:p>
            <w:pPr>
              <w:jc w:val="center"/>
              <w:ind w:left="1390"/>
              <w:spacing w:after="0"/>
              <w:rPr>
                <w:sz w:val="20"/>
                <w:szCs w:val="20"/>
                <w:color w:val="auto"/>
              </w:rPr>
            </w:pPr>
            <w:r>
              <w:rPr>
                <w:rFonts w:ascii="Arial" w:cs="Arial" w:eastAsia="Arial" w:hAnsi="Arial"/>
                <w:sz w:val="18"/>
                <w:szCs w:val="18"/>
                <w:color w:val="auto"/>
                <w:w w:val="98"/>
              </w:rPr>
              <w:t>ARTICLE XV</w:t>
            </w:r>
          </w:p>
        </w:tc>
        <w:tc>
          <w:tcPr>
            <w:tcW w:w="1840" w:type="dxa"/>
            <w:vAlign w:val="bottom"/>
          </w:tcPr>
          <w:p>
            <w:pPr>
              <w:spacing w:after="0"/>
              <w:rPr>
                <w:sz w:val="24"/>
                <w:szCs w:val="24"/>
                <w:color w:val="auto"/>
              </w:rPr>
            </w:pPr>
          </w:p>
        </w:tc>
      </w:tr>
      <w:tr>
        <w:trPr>
          <w:trHeight w:val="324"/>
        </w:trPr>
        <w:tc>
          <w:tcPr>
            <w:tcW w:w="9120" w:type="dxa"/>
            <w:vAlign w:val="bottom"/>
          </w:tcPr>
          <w:p>
            <w:pPr>
              <w:jc w:val="center"/>
              <w:ind w:left="1390"/>
              <w:spacing w:after="0"/>
              <w:rPr>
                <w:sz w:val="20"/>
                <w:szCs w:val="20"/>
                <w:color w:val="auto"/>
              </w:rPr>
            </w:pPr>
            <w:r>
              <w:rPr>
                <w:rFonts w:ascii="Arial" w:cs="Arial" w:eastAsia="Arial" w:hAnsi="Arial"/>
                <w:sz w:val="18"/>
                <w:szCs w:val="18"/>
                <w:color w:val="auto"/>
                <w:w w:val="95"/>
              </w:rPr>
              <w:t>SUBORDINATION OF SECURITIES</w:t>
            </w:r>
          </w:p>
        </w:tc>
        <w:tc>
          <w:tcPr>
            <w:tcW w:w="1840" w:type="dxa"/>
            <w:vAlign w:val="bottom"/>
          </w:tcPr>
          <w:p>
            <w:pPr>
              <w:spacing w:after="0"/>
              <w:rPr>
                <w:sz w:val="24"/>
                <w:szCs w:val="24"/>
                <w:color w:val="auto"/>
              </w:rPr>
            </w:pP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15.01  Agreement to Subordinate</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15.02  Distribution on Dissolution, Liquidation and Reorganization; Subrogation of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15.03  No Payment on Securities in Event of Default on Senior Indebtedness</w:t>
            </w:r>
          </w:p>
        </w:tc>
        <w:tc>
          <w:tcPr>
            <w:tcW w:w="1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15.04  Payments on Securities Permitted</w:t>
            </w:r>
          </w:p>
        </w:tc>
        <w:tc>
          <w:tcPr>
            <w:tcW w:w="1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15.05  Authorization of Securityholders to Trustee to Effect Subordination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15.06  Notices to Trustee</w:t>
            </w:r>
          </w:p>
        </w:tc>
        <w:tc>
          <w:tcPr>
            <w:tcW w:w="1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15.07  Trustee as Holder of Senior Indebtedness</w:t>
            </w:r>
          </w:p>
        </w:tc>
        <w:tc>
          <w:tcPr>
            <w:tcW w:w="1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15.08  Modifications of Terms of Senior Indebtedness</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15.09  Reliance on Judicial Order or Certificate of Liquidating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15.10  Satisfaction and Discharge; Defeasance and Covenant Defeasance</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120" w:type="dxa"/>
            <w:vAlign w:val="bottom"/>
          </w:tcPr>
          <w:p>
            <w:pPr>
              <w:spacing w:after="0"/>
              <w:rPr>
                <w:sz w:val="20"/>
                <w:szCs w:val="20"/>
                <w:color w:val="auto"/>
              </w:rPr>
            </w:pPr>
            <w:r>
              <w:rPr>
                <w:rFonts w:ascii="Arial" w:cs="Arial" w:eastAsia="Arial" w:hAnsi="Arial"/>
                <w:sz w:val="18"/>
                <w:szCs w:val="18"/>
                <w:color w:val="auto"/>
              </w:rPr>
              <w:t>Section 15.11   Trustee Not Fiduciary for Holders of Senior Indebtedness</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65"/>
        </w:trPr>
        <w:tc>
          <w:tcPr>
            <w:tcW w:w="9120" w:type="dxa"/>
            <w:vAlign w:val="bottom"/>
          </w:tcPr>
          <w:p>
            <w:pPr>
              <w:ind w:left="5460"/>
              <w:spacing w:after="0"/>
              <w:rPr>
                <w:sz w:val="20"/>
                <w:szCs w:val="20"/>
                <w:color w:val="auto"/>
              </w:rPr>
            </w:pPr>
            <w:r>
              <w:rPr>
                <w:rFonts w:ascii="Arial" w:cs="Arial" w:eastAsia="Arial" w:hAnsi="Arial"/>
                <w:sz w:val="18"/>
                <w:szCs w:val="18"/>
                <w:color w:val="auto"/>
              </w:rPr>
              <w:t>v</w:t>
            </w:r>
          </w:p>
        </w:tc>
        <w:tc>
          <w:tcPr>
            <w:tcW w:w="1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9" w:name="page80"/>
    <w:bookmarkEnd w:id="79"/>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7620" w:type="dxa"/>
            <w:vAlign w:val="bottom"/>
          </w:tcPr>
          <w:p>
            <w:pPr>
              <w:ind w:left="3660"/>
              <w:spacing w:after="0"/>
              <w:rPr>
                <w:sz w:val="20"/>
                <w:szCs w:val="20"/>
                <w:color w:val="auto"/>
              </w:rPr>
            </w:pPr>
            <w:r>
              <w:rPr>
                <w:rFonts w:ascii="Arial" w:cs="Arial" w:eastAsia="Arial" w:hAnsi="Arial"/>
                <w:sz w:val="18"/>
                <w:szCs w:val="18"/>
                <w:color w:val="auto"/>
              </w:rPr>
              <w:t>ARTICLE XVI</w:t>
            </w:r>
          </w:p>
        </w:tc>
        <w:tc>
          <w:tcPr>
            <w:tcW w:w="226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7620" w:type="dxa"/>
            <w:vAlign w:val="bottom"/>
          </w:tcPr>
          <w:p>
            <w:pPr>
              <w:ind w:left="2920"/>
              <w:spacing w:after="0"/>
              <w:rPr>
                <w:sz w:val="20"/>
                <w:szCs w:val="20"/>
                <w:color w:val="auto"/>
              </w:rPr>
            </w:pPr>
            <w:r>
              <w:rPr>
                <w:rFonts w:ascii="Arial" w:cs="Arial" w:eastAsia="Arial" w:hAnsi="Arial"/>
                <w:sz w:val="18"/>
                <w:szCs w:val="18"/>
                <w:color w:val="auto"/>
              </w:rPr>
              <w:t>MISCELLANEOUS PROVISIONS</w:t>
            </w:r>
          </w:p>
        </w:tc>
        <w:tc>
          <w:tcPr>
            <w:tcW w:w="2260" w:type="dxa"/>
            <w:vAlign w:val="bottom"/>
          </w:tcPr>
          <w:p>
            <w:pPr>
              <w:spacing w:after="0"/>
              <w:rPr>
                <w:sz w:val="24"/>
                <w:szCs w:val="24"/>
                <w:color w:val="auto"/>
              </w:rPr>
            </w:pP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16.01  Certificates and Opinions as to Conditions Precedent</w:t>
            </w:r>
          </w:p>
        </w:tc>
        <w:tc>
          <w:tcPr>
            <w:tcW w:w="2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16.02  Trust Indenture Act Controls</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16.03  Notices to the Company and Trustee</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16.04  Notices to Securityholders; Waiver</w:t>
            </w:r>
          </w:p>
        </w:tc>
        <w:tc>
          <w:tcPr>
            <w:tcW w:w="2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16.05</w:t>
            </w:r>
          </w:p>
        </w:tc>
        <w:tc>
          <w:tcPr>
            <w:tcW w:w="7620" w:type="dxa"/>
            <w:vAlign w:val="bottom"/>
          </w:tcPr>
          <w:p>
            <w:pPr>
              <w:ind w:left="100"/>
              <w:spacing w:after="0"/>
              <w:rPr>
                <w:sz w:val="20"/>
                <w:szCs w:val="20"/>
                <w:color w:val="auto"/>
              </w:rPr>
            </w:pPr>
            <w:r>
              <w:rPr>
                <w:rFonts w:ascii="Arial" w:cs="Arial" w:eastAsia="Arial" w:hAnsi="Arial"/>
                <w:sz w:val="18"/>
                <w:szCs w:val="18"/>
                <w:color w:val="auto"/>
              </w:rPr>
              <w:t>Legal Holiday</w:t>
            </w:r>
          </w:p>
        </w:tc>
        <w:tc>
          <w:tcPr>
            <w:tcW w:w="2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16.06</w:t>
            </w:r>
          </w:p>
        </w:tc>
        <w:tc>
          <w:tcPr>
            <w:tcW w:w="762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16.07  Effects of Headings and Table of Contents</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16.08  Successors and Assigns</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16.09</w:t>
            </w:r>
          </w:p>
        </w:tc>
        <w:tc>
          <w:tcPr>
            <w:tcW w:w="76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16.10  Benefits of Indenture</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16.11</w:t>
            </w:r>
          </w:p>
        </w:tc>
        <w:tc>
          <w:tcPr>
            <w:tcW w:w="76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16.12  Governing Law; Waiver of Trial by Jury</w:t>
            </w:r>
          </w:p>
        </w:tc>
        <w:tc>
          <w:tcPr>
            <w:tcW w:w="2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16.13  Submission to Jurisdiction</w:t>
            </w:r>
          </w:p>
        </w:tc>
        <w:tc>
          <w:tcPr>
            <w:tcW w:w="2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Section 16.14  Waiver of Immunity</w:t>
            </w:r>
          </w:p>
        </w:tc>
        <w:tc>
          <w:tcPr>
            <w:tcW w:w="2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w w:val="96"/>
              </w:rPr>
              <w:t>Section 16.15</w:t>
            </w:r>
          </w:p>
        </w:tc>
        <w:tc>
          <w:tcPr>
            <w:tcW w:w="762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226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Security</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Compliance Certificate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60"/>
          </w:cols>
          <w:pgMar w:left="440" w:top="274" w:right="499" w:bottom="1440" w:gutter="0" w:footer="0" w:header="0"/>
        </w:sectPr>
      </w:pPr>
    </w:p>
    <w:bookmarkStart w:id="80" w:name="page81"/>
    <w:bookmarkEnd w:id="80"/>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 between iQIYI, Inc., an exempted company incorporated in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Citibank, N.A.,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WHEREAS, the Company has duly authorized the execution and delivery of this Indenture to provide for the issuance of debentures, notes, bonds or other evidences of indebtedness (the “</w:t>
      </w:r>
      <w:r>
        <w:rPr>
          <w:rFonts w:ascii="Arial" w:cs="Arial" w:eastAsia="Arial" w:hAnsi="Arial"/>
          <w:sz w:val="18"/>
          <w:szCs w:val="18"/>
          <w:u w:val="single" w:color="auto"/>
          <w:color w:val="auto"/>
        </w:rPr>
        <w:t>Securities</w:t>
      </w:r>
      <w:r>
        <w:rPr>
          <w:rFonts w:ascii="Arial" w:cs="Arial" w:eastAsia="Arial" w:hAnsi="Arial"/>
          <w:sz w:val="18"/>
          <w:szCs w:val="18"/>
          <w:color w:val="auto"/>
        </w:rPr>
        <w:t>”) in an unlimited aggregate principal amount to be issued from time to time in one or more series as provided in this Indenture; and</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the Company, in accordance with its terms, have been done.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That, in consideration of the premises and the purchase of the Securities by the Holders (as defined below) thereof for the equal and proportionate benefit of all of the present and future Holders of the Securities, each party agrees and covenants as follows: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77" w:lineRule="auto"/>
        <w:tabs>
          <w:tab w:leader="none" w:pos="12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defined in this Indenture or the context otherwise requires, all terms used herein shall have the meanings assigned to them in the Trust Indenture Act.</w:t>
      </w:r>
    </w:p>
    <w:p>
      <w:pPr>
        <w:spacing w:after="0" w:line="62" w:lineRule="exact"/>
        <w:rPr>
          <w:rFonts w:ascii="Arial" w:cs="Arial" w:eastAsia="Arial" w:hAnsi="Arial"/>
          <w:sz w:val="18"/>
          <w:szCs w:val="18"/>
          <w:color w:val="auto"/>
        </w:rPr>
      </w:pPr>
    </w:p>
    <w:p>
      <w:pPr>
        <w:ind w:right="340" w:firstLine="987"/>
        <w:spacing w:after="0" w:line="263" w:lineRule="auto"/>
        <w:tabs>
          <w:tab w:leader="none" w:pos="12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the context otherwise requires, the terms defined in this Section 1.01(b) shall for all purposes of this Indenture have the meanings hereinafter set forth, the following definitions to be equally applicable to both the singular and the plural forms of any of the terms herein defined: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Amounts</w:t>
      </w:r>
      <w:r>
        <w:rPr>
          <w:rFonts w:ascii="Arial" w:cs="Arial" w:eastAsia="Arial" w:hAnsi="Arial"/>
          <w:sz w:val="18"/>
          <w:szCs w:val="18"/>
          <w:color w:val="auto"/>
        </w:rPr>
        <w:t>” has the meaning provided in Section 6.05(a).</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direct or indirect common control with, such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Paying Agents, the Registrar, and any other agent appointed under the terms of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w:t>
      </w:r>
    </w:p>
    <w:p>
      <w:pPr>
        <w:sectPr>
          <w:pgSz w:w="11900" w:h="16838" w:orient="portrait"/>
          <w:cols w:equalWidth="0" w:num="1">
            <w:col w:w="10960"/>
          </w:cols>
          <w:pgMar w:left="440" w:top="274" w:right="499" w:bottom="1440" w:gutter="0" w:footer="0" w:header="0"/>
        </w:sectPr>
      </w:pPr>
    </w:p>
    <w:bookmarkStart w:id="81" w:name="page82"/>
    <w:bookmarkEnd w:id="81"/>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elected or appointed by the shareholders of the Company to manage its business or any committee of such board duly authorized to take the action purported to be taken by such committee.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any resolution of the Board of Directors taking an action which it is authorized to take and adopted at a meeting duly called and held at which a quorum of disinterested members (if so required) was present and acting throughout or adopted by written resolution executed by every member of the Board of Directors.</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a day on which banking institutions or trust companies in The City of New York, Hong Kong or Beijing are authorized or obligated by law, regulation or executive order to remain closed</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of any Person means any and all shares, interests, rights to purchase, warrants, options, participations or other equivalents of or interests in (however designated) equity of such Person, including any Preferred Shares and limited liability or partnership interests (whether general or limited), but excluding any debt securities convertible or exchangeable into such equity.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w:t>
      </w:r>
      <w:r>
        <w:rPr>
          <w:rFonts w:ascii="Arial" w:cs="Arial" w:eastAsia="Arial" w:hAnsi="Arial"/>
          <w:sz w:val="18"/>
          <w:szCs w:val="18"/>
          <w:u w:val="single" w:color="auto"/>
          <w:color w:val="auto"/>
        </w:rPr>
        <w:t>Company</w:t>
      </w:r>
      <w:r>
        <w:rPr>
          <w:rFonts w:ascii="Arial" w:cs="Arial" w:eastAsia="Arial" w:hAnsi="Arial"/>
          <w:sz w:val="18"/>
          <w:szCs w:val="18"/>
          <w:color w:val="auto"/>
        </w:rPr>
        <w:t>” in the recitals, until a successor Person shall have become such pursuant to the applicable provisions of this Indenture, and thereafter “</w:t>
      </w:r>
      <w:r>
        <w:rPr>
          <w:rFonts w:ascii="Arial" w:cs="Arial" w:eastAsia="Arial" w:hAnsi="Arial"/>
          <w:sz w:val="18"/>
          <w:szCs w:val="18"/>
          <w:u w:val="single" w:color="auto"/>
          <w:color w:val="auto"/>
        </w:rPr>
        <w:t>Company</w:t>
      </w:r>
      <w:r>
        <w:rPr>
          <w:rFonts w:ascii="Arial" w:cs="Arial" w:eastAsia="Arial" w:hAnsi="Arial"/>
          <w:sz w:val="18"/>
          <w:szCs w:val="18"/>
          <w:color w:val="auto"/>
        </w:rPr>
        <w:t>” shall mean such successor Person.</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request or order signed in the name of the Company by (i) two Officers or (ii) one Officer and either a Treasurer, an Assistant Treasurer, a Secretary or an Assistant Secretary of the Company.</w:t>
      </w:r>
    </w:p>
    <w:p>
      <w:pPr>
        <w:spacing w:after="0" w:line="170"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Affiliated Entity</w:t>
      </w:r>
      <w:r>
        <w:rPr>
          <w:rFonts w:ascii="Arial" w:cs="Arial" w:eastAsia="Arial" w:hAnsi="Arial"/>
          <w:sz w:val="17"/>
          <w:szCs w:val="17"/>
          <w:color w:val="auto"/>
        </w:rPr>
        <w:t xml:space="preserve">” of any Person means any corporation, association or other entity which is or is required to be consolidated with such Person under Accounting Standards Codification subtopic 810-10, </w:t>
      </w:r>
      <w:r>
        <w:rPr>
          <w:rFonts w:ascii="Arial" w:cs="Arial" w:eastAsia="Arial" w:hAnsi="Arial"/>
          <w:sz w:val="17"/>
          <w:szCs w:val="17"/>
          <w:i w:val="1"/>
          <w:iCs w:val="1"/>
          <w:color w:val="auto"/>
        </w:rPr>
        <w:t>Consolidation: Overall</w:t>
      </w:r>
      <w:r>
        <w:rPr>
          <w:rFonts w:ascii="Arial" w:cs="Arial" w:eastAsia="Arial" w:hAnsi="Arial"/>
          <w:sz w:val="17"/>
          <w:szCs w:val="17"/>
          <w:color w:val="auto"/>
        </w:rPr>
        <w:t xml:space="preserve"> (including any changes, amendments or supplements thereto) or, if such Person prepares its financial statements in accordance with accounting principles other than U.S. GAAP, the equivalent of Accounting Standards Codification subtopic 810-10, </w:t>
      </w:r>
      <w:r>
        <w:rPr>
          <w:rFonts w:ascii="Arial" w:cs="Arial" w:eastAsia="Arial" w:hAnsi="Arial"/>
          <w:sz w:val="17"/>
          <w:szCs w:val="17"/>
          <w:i w:val="1"/>
          <w:iCs w:val="1"/>
          <w:color w:val="auto"/>
        </w:rPr>
        <w:t>Consolidation: Overall</w:t>
      </w:r>
      <w:r>
        <w:rPr>
          <w:rFonts w:ascii="Arial" w:cs="Arial" w:eastAsia="Arial" w:hAnsi="Arial"/>
          <w:sz w:val="17"/>
          <w:szCs w:val="17"/>
          <w:color w:val="auto"/>
        </w:rPr>
        <w:t xml:space="preserve"> under such accounting principles. Unless otherwise specified herein, each reference to a Consolidated Affiliated Entity will refer to a Consolidated Affiliated Entity of the Company.</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of any Person means a Subsidiary or a Consolidated Affiliated Entity of such Person.</w:t>
      </w:r>
    </w:p>
    <w:p>
      <w:pPr>
        <w:spacing w:after="0" w:line="225"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or other similar term, means the principal office of the Trustee at which at any particular time its corporate trust business shall be administered, which office at the date hereof is located at (a) for note transfer/surrender purposes, 480 Washington Boulevard, 30th Floor, Jersey City, New Jersey 07310, Facsimile: (973) 461-7191 or (973) 461-7192, Attention: Agency &amp; Trust - iQIYI, Inc., and (b) for all other purposes, 388 Greenwich Street, New York, New York 10013, Facsimile: (212) 816-5527, Attention: Agency &amp; Trust - iQIYI, Inc.,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2" w:name="page83"/>
    <w:bookmarkEnd w:id="8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provided in Section 12.03(c).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CUSIP</w:t>
      </w:r>
      <w:r>
        <w:rPr>
          <w:rFonts w:ascii="Arial" w:cs="Arial" w:eastAsia="Arial" w:hAnsi="Arial"/>
          <w:sz w:val="18"/>
          <w:szCs w:val="18"/>
          <w:color w:val="auto"/>
        </w:rPr>
        <w:t>” means the identification number provided by the Committee on Uniform Securities Identification Procedures.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has the meaning provided in Section 11.03.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provided in Section 3.08(b).</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Securities of any series issuable in whole or in part in the form of one or more Global Securities, the Person designated as Depositary by the Company pursuant to Section 3.01 until a successor Depositary shall have become such pursuant to the applicable provisions of this Indenture, and thereafter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u w:val="single" w:color="auto"/>
          <w:color w:val="auto"/>
        </w:rPr>
        <w:t>Depositary</w:t>
      </w:r>
      <w:r>
        <w:rPr>
          <w:rFonts w:ascii="Arial" w:cs="Arial" w:eastAsia="Arial" w:hAnsi="Arial"/>
          <w:sz w:val="18"/>
          <w:szCs w:val="18"/>
          <w:color w:val="auto"/>
        </w:rPr>
        <w:t>” as used with respect to the Securities of any such series shall mean the Depositary with respect to the Securities of that series.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Discharged</w:t>
      </w:r>
      <w:r>
        <w:rPr>
          <w:rFonts w:ascii="Arial" w:cs="Arial" w:eastAsia="Arial" w:hAnsi="Arial"/>
          <w:sz w:val="18"/>
          <w:szCs w:val="18"/>
          <w:color w:val="auto"/>
        </w:rPr>
        <w:t>” has the meaning provided in Section 12.03(b).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provided in Section 7.01.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External Legal Counsel</w:t>
      </w:r>
      <w:r>
        <w:rPr>
          <w:rFonts w:ascii="Arial" w:cs="Arial" w:eastAsia="Arial" w:hAnsi="Arial"/>
          <w:sz w:val="17"/>
          <w:szCs w:val="17"/>
          <w:color w:val="auto"/>
        </w:rPr>
        <w:t>” means an external legal firm of nationally recognized standing that is reasonably acceptable to the Trustee.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has the meaning provided in Section 6.05(a)(viii).</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Floating Rate Security</w:t>
      </w:r>
      <w:r>
        <w:rPr>
          <w:rFonts w:ascii="Arial" w:cs="Arial" w:eastAsia="Arial" w:hAnsi="Arial"/>
          <w:sz w:val="18"/>
          <w:szCs w:val="18"/>
          <w:color w:val="auto"/>
        </w:rPr>
        <w:t>” means a Security that provides for the payment of interest at a variable rate determined periodically by reference to an interest rate index specified pursuant to Section 3.01.</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any Security that evidences all or part of a series of Securities, issued in fully-registered certificated form to the Depositary for such series in accordance with Section 3.03 and bearing the legend prescribed in Section 3.03(f).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t>
      </w:r>
      <w:r>
        <w:rPr>
          <w:rFonts w:ascii="Arial" w:cs="Arial" w:eastAsia="Arial" w:hAnsi="Arial"/>
          <w:sz w:val="18"/>
          <w:szCs w:val="18"/>
          <w:u w:val="single" w:color="auto"/>
          <w:color w:val="auto"/>
        </w:rPr>
        <w:t>Holder of Securities,</w:t>
      </w:r>
      <w:r>
        <w:rPr>
          <w:rFonts w:ascii="Arial" w:cs="Arial" w:eastAsia="Arial" w:hAnsi="Arial"/>
          <w:sz w:val="18"/>
          <w:szCs w:val="18"/>
          <w:color w:val="auto"/>
        </w:rPr>
        <w:t>” or “</w:t>
      </w:r>
      <w:r>
        <w:rPr>
          <w:rFonts w:ascii="Arial" w:cs="Arial" w:eastAsia="Arial" w:hAnsi="Arial"/>
          <w:sz w:val="18"/>
          <w:szCs w:val="18"/>
          <w:u w:val="single" w:color="auto"/>
          <w:color w:val="auto"/>
        </w:rPr>
        <w:t>Securityholder</w:t>
      </w:r>
      <w:r>
        <w:rPr>
          <w:rFonts w:ascii="Arial" w:cs="Arial" w:eastAsia="Arial" w:hAnsi="Arial"/>
          <w:sz w:val="18"/>
          <w:szCs w:val="18"/>
          <w:color w:val="auto"/>
        </w:rPr>
        <w:t>” mean the Person in whose name Securities are registered in the Register.</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any and all obligations of a Person for money borrowed which, in accordance with U.S. GAAP, would be reflected on the balance sheet of such Person as a liability on the date as of which Indebtedness is to be determined.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83" w:name="page84"/>
    <w:bookmarkEnd w:id="83"/>
    <w:p>
      <w:pPr>
        <w:ind w:right="3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instrument and all indentures supplemental hereto entered into pursuant to the applicable provisions hereof and shall include the terms of particular series of Securities established as contemplated by Section 3.01.</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Tax Consultant</w:t>
      </w:r>
      <w:r>
        <w:rPr>
          <w:rFonts w:ascii="Arial" w:cs="Arial" w:eastAsia="Arial" w:hAnsi="Arial"/>
          <w:sz w:val="18"/>
          <w:szCs w:val="18"/>
          <w:color w:val="auto"/>
        </w:rPr>
        <w:t>” means an independent accounting firm or consultant of nationally recognized standing.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with respect to any Security, the Stated Maturity of an installment of interest on such Security.</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ISIN</w:t>
      </w:r>
      <w:r>
        <w:rPr>
          <w:rFonts w:ascii="Arial" w:cs="Arial" w:eastAsia="Arial" w:hAnsi="Arial"/>
          <w:sz w:val="18"/>
          <w:szCs w:val="18"/>
          <w:color w:val="auto"/>
        </w:rPr>
        <w:t>” means the International Securities Identification Number.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with respect to any Security, the date on which such Security is originally issued under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provided in Section 16.06.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Defeasance</w:t>
      </w:r>
      <w:r>
        <w:rPr>
          <w:rFonts w:ascii="Arial" w:cs="Arial" w:eastAsia="Arial" w:hAnsi="Arial"/>
          <w:sz w:val="18"/>
          <w:szCs w:val="18"/>
          <w:color w:val="auto"/>
        </w:rPr>
        <w:t>” has the meaning provided in Section 12.03(b).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provided in Section 5.01(b).</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means, with respect to any Security, the date on which the principal of such Security shall become due and payable as therein and herein provided, whether by declaration, call for redemption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has the meaning provided in Section 3.03(h).</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the Chairman of the Board, the Chief Executive Officer, the President, the Chief Financial Officer, any Vice President, the Treasurer or the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4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two Officers of the Company, one of whom is the principal executive officer, the principal financial officer, the treasurer or the principal accounting officer, or by an Officer and either an Assistant Treasurer or an Assistant Secretary of the Company.</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an opinion in writing reasonably acceptable to the Trustee signed by legal counsel, who may be counsel to the Company or who may be other counsel, that meets the applicable requirements provided for in Section 16.01.</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provided in Section 5.01(b).</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is issued with “original issue discount” within the meaning of Section 1273(a) of the Code and the regulations thereunder and any other Security designated by the Company as issued with original issue discount for United States federal income tax purposes.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4" w:name="page85"/>
    <w:bookmarkEnd w:id="84"/>
    <w:p>
      <w:pPr>
        <w:ind w:right="3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Outstanding</w:t>
      </w:r>
      <w:r>
        <w:rPr>
          <w:rFonts w:ascii="Arial" w:cs="Arial" w:eastAsia="Arial" w:hAnsi="Arial"/>
          <w:sz w:val="18"/>
          <w:szCs w:val="18"/>
          <w:color w:val="auto"/>
        </w:rPr>
        <w:t>” means, when used with respect to Securities, as of the date of determination, all Securities theretofore authenticated and delivered under this Indenture, except:</w:t>
      </w:r>
    </w:p>
    <w:p>
      <w:pPr>
        <w:spacing w:after="0" w:line="62" w:lineRule="exact"/>
        <w:rPr>
          <w:sz w:val="20"/>
          <w:szCs w:val="20"/>
          <w:color w:val="auto"/>
        </w:rPr>
      </w:pPr>
    </w:p>
    <w:p>
      <w:pPr>
        <w:ind w:left="1080" w:hanging="221"/>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Securities theretofore cancelled by the Paying Agent or delivered to the Paying Agent for cancellation;</w:t>
      </w:r>
    </w:p>
    <w:p>
      <w:pPr>
        <w:spacing w:after="0" w:line="117" w:lineRule="exact"/>
        <w:rPr>
          <w:rFonts w:ascii="Arial" w:cs="Arial" w:eastAsia="Arial" w:hAnsi="Arial"/>
          <w:sz w:val="18"/>
          <w:szCs w:val="18"/>
          <w:color w:val="auto"/>
        </w:rPr>
      </w:pPr>
    </w:p>
    <w:p>
      <w:pPr>
        <w:ind w:left="440" w:right="20" w:firstLine="419"/>
        <w:spacing w:after="0" w:line="275" w:lineRule="auto"/>
        <w:tabs>
          <w:tab w:leader="none" w:pos="11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Securities or portions thereof are to be redeemed, notice of such redemption has been duly given pursuant to this Indenture or provision therefor satisfactory to the Trustee has been made; and</w:t>
      </w:r>
    </w:p>
    <w:p>
      <w:pPr>
        <w:spacing w:after="0" w:line="68" w:lineRule="exact"/>
        <w:rPr>
          <w:rFonts w:ascii="Arial" w:cs="Arial" w:eastAsia="Arial" w:hAnsi="Arial"/>
          <w:sz w:val="17"/>
          <w:szCs w:val="17"/>
          <w:color w:val="auto"/>
        </w:rPr>
      </w:pPr>
    </w:p>
    <w:p>
      <w:pPr>
        <w:ind w:left="440" w:firstLine="419"/>
        <w:spacing w:after="0" w:line="259" w:lineRule="auto"/>
        <w:tabs>
          <w:tab w:leader="none" w:pos="11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18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Securities of a series Outstanding have performed any action (including the making of any demand or request, the giving of any notice, consent or waiver or the taking of any other action) hereunder, Securities owned by the Company or any other obligor upon the Securities of such series or any Affiliate of the Company or of such other obligor shall be disregarded and deemed not to be Outstanding unless the Company, such Affiliate or such other obligor owns all of such Securities, except that, in determining whether the Trustee shall be protected in relying upon any such action, only Securities of such series for which the Trustee has received written notice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case of a dispute as to such right, the decision of the Trustee upon the advice of counsel shall be full protection to the Trustee. Upon request of the Trustee, the Company shall furnish to the Trustee promptly an Officers’ Certificate listing and identifying all such Securities, if any, known by the Company to be owned or held by or for the account of any of the above described Persons; and, subject to the provisions of Section 11.01, the Trustee shall be entitled to accept such Officers’ Certificate as conclusive evidence of the facts therein set forth and of the fact that all such Securities not listed therein are Outstanding for the purpose of any such determination.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5" w:name="page86"/>
    <w:bookmarkEnd w:id="85"/>
    <w:p>
      <w:pPr>
        <w:ind w:right="2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Paying Agent</w:t>
      </w:r>
      <w:r>
        <w:rPr>
          <w:rFonts w:ascii="Arial" w:cs="Arial" w:eastAsia="Arial" w:hAnsi="Arial"/>
          <w:sz w:val="17"/>
          <w:szCs w:val="17"/>
          <w:color w:val="auto"/>
        </w:rPr>
        <w:t>” means any Person authorized by the Company to pay the principal of, premium, if any, or interest on any Securities on behalf of the Company. The Company may act as Paying Agent with respect to Securities of any series issued hereunder.</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Default</w:t>
      </w:r>
      <w:r>
        <w:rPr>
          <w:rFonts w:ascii="Arial" w:cs="Arial" w:eastAsia="Arial" w:hAnsi="Arial"/>
          <w:sz w:val="18"/>
          <w:szCs w:val="18"/>
          <w:color w:val="auto"/>
        </w:rPr>
        <w:t>” has the meaning provided in Section 7.01(e).</w:t>
      </w:r>
    </w:p>
    <w:p>
      <w:pPr>
        <w:spacing w:after="0" w:line="225"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limited liability company, partnership, joint venture, undertaking, association, joint stock company, trust, unincorporated organization, trust, state, government or any agency or political subdivision thereof or any other entity (in each case whether or not being a separate legal entity).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has the meaning provided in Section 3.01(f).</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excluding, for purposes of this definition, the Hong Kong Special Administrative Region, the Macau Special Administrative Region and Taiwan.</w:t>
      </w:r>
    </w:p>
    <w:p>
      <w:pPr>
        <w:spacing w:after="0" w:line="170" w:lineRule="exact"/>
        <w:rPr>
          <w:sz w:val="20"/>
          <w:szCs w:val="20"/>
          <w:color w:val="auto"/>
        </w:rPr>
      </w:pPr>
    </w:p>
    <w:p>
      <w:pPr>
        <w:jc w:val="both"/>
        <w:ind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Predecessor Security</w:t>
      </w:r>
      <w:r>
        <w:rPr>
          <w:rFonts w:ascii="Arial" w:cs="Arial" w:eastAsia="Arial" w:hAnsi="Arial"/>
          <w:sz w:val="17"/>
          <w:szCs w:val="17"/>
          <w:color w:val="auto"/>
        </w:rPr>
        <w:t>” means, with respect to any Security, every previous Security evidencing all or a portion of the same debt as that evidenced by such particular Security, and, for the purposes of this definition, any Security authenticated and delivered under Section 3.07 in lieu of a lost, destroyed or stolen Security shall be deemed to evidence the same debt as the lost, destroyed or stolen Security.</w:t>
      </w:r>
    </w:p>
    <w:p>
      <w:pPr>
        <w:spacing w:after="0" w:line="16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as applied to the Capital Stock of any corporation, means Capital Stock of any class or classes (however designated) that is preferred as to the payment of dividends upon liquidation, dissolution or winding up.</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dated [●], 2020, relating to the offering of Securities.</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any interest payable on any Security on any Interest Payment Date, the close of business on such date specified in such Security for the payment of interest pursuant to Section 3.01.</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means,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when used with respect to any Security to be redeemed, in whole or in part, the price at which it is to be redeemed pursuant to the terms of the Security and this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provided in Section 3.05(a).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provided in Section 3.05(a).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86" w:name="page87"/>
    <w:bookmarkEnd w:id="8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Relevant Jurisdiction</w:t>
      </w:r>
      <w:r>
        <w:rPr>
          <w:rFonts w:ascii="Arial" w:cs="Arial" w:eastAsia="Arial" w:hAnsi="Arial"/>
          <w:sz w:val="18"/>
          <w:szCs w:val="18"/>
          <w:color w:val="auto"/>
        </w:rPr>
        <w:t>” has the meaning provided in Section 6.05(a).</w:t>
      </w:r>
    </w:p>
    <w:p>
      <w:pPr>
        <w:spacing w:after="0" w:line="225" w:lineRule="exact"/>
        <w:rPr>
          <w:sz w:val="20"/>
          <w:szCs w:val="20"/>
          <w:color w:val="auto"/>
        </w:rPr>
      </w:pPr>
    </w:p>
    <w:p>
      <w:pPr>
        <w:ind w:left="4"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with respect to the Trustee, any managing director, vice president, senior trust officer, trust associate, relationship manager, transaction manager, client service manager, any trust officer or any other officer located at the Corporate Trust Office of the Trustee who customarily performs functions similar to those performed by any persons who at the time shall be such officers, respectively, or to whom any corporate trust matter is referred because of such person’s knowledge of and familiarity with the particular subject and in each such case, who shall have direct responsibility for the day to day administration of this Indenture.</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as constituted from time to time.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w:t>
      </w:r>
      <w:r>
        <w:rPr>
          <w:rFonts w:ascii="Arial" w:cs="Arial" w:eastAsia="Arial" w:hAnsi="Arial"/>
          <w:sz w:val="16"/>
          <w:szCs w:val="16"/>
          <w:color w:val="auto"/>
        </w:rPr>
        <w:t>” or “</w:t>
      </w:r>
      <w:r>
        <w:rPr>
          <w:rFonts w:ascii="Arial" w:cs="Arial" w:eastAsia="Arial" w:hAnsi="Arial"/>
          <w:sz w:val="16"/>
          <w:szCs w:val="16"/>
          <w:u w:val="single" w:color="auto"/>
          <w:color w:val="auto"/>
        </w:rPr>
        <w:t>Securities</w:t>
      </w:r>
      <w:r>
        <w:rPr>
          <w:rFonts w:ascii="Arial" w:cs="Arial" w:eastAsia="Arial" w:hAnsi="Arial"/>
          <w:sz w:val="16"/>
          <w:szCs w:val="16"/>
          <w:color w:val="auto"/>
        </w:rPr>
        <w:t>” means any security or securities, as the case may be, duly authenticated by the Trustee and delivered under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4"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Custodian</w:t>
      </w:r>
      <w:r>
        <w:rPr>
          <w:rFonts w:ascii="Arial" w:cs="Arial" w:eastAsia="Arial" w:hAnsi="Arial"/>
          <w:sz w:val="18"/>
          <w:szCs w:val="18"/>
          <w:color w:val="auto"/>
        </w:rPr>
        <w:t>” means the custodian with respect to any Global Security appointed by the Depositary, or any successor Person thereto, and shall initially be the Paying Agent.</w:t>
      </w:r>
    </w:p>
    <w:p>
      <w:pPr>
        <w:spacing w:after="0" w:line="170" w:lineRule="exact"/>
        <w:rPr>
          <w:sz w:val="20"/>
          <w:szCs w:val="20"/>
          <w:color w:val="auto"/>
        </w:rPr>
      </w:pPr>
    </w:p>
    <w:p>
      <w:pPr>
        <w:ind w:left="4" w:right="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means the principal of, premium, if any, or interest on (i) Indebtedness of the Company, whether outstanding on the date hereof or thereafter created, incurred, assumed or guaranteed, for money borrowed other than (A) any Indebtedness of the Company which when incurred, and without respect to any election under Section 1111(b) of the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w:t>
      </w:r>
    </w:p>
    <w:p>
      <w:pPr>
        <w:spacing w:after="0" w:line="2" w:lineRule="exact"/>
        <w:rPr>
          <w:sz w:val="20"/>
          <w:szCs w:val="20"/>
          <w:color w:val="auto"/>
        </w:rPr>
      </w:pPr>
    </w:p>
    <w:p>
      <w:pPr>
        <w:ind w:left="4" w:right="100" w:hanging="4"/>
        <w:spacing w:after="0" w:line="281" w:lineRule="auto"/>
        <w:tabs>
          <w:tab w:leader="none" w:pos="269"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renewals, extensions, modifications and refundings of any such Indebtedness. For purposes of the foregoing and the definition of “</w:t>
      </w:r>
      <w:r>
        <w:rPr>
          <w:rFonts w:ascii="Arial" w:cs="Arial" w:eastAsia="Arial" w:hAnsi="Arial"/>
          <w:sz w:val="16"/>
          <w:szCs w:val="16"/>
          <w:u w:val="single" w:color="auto"/>
          <w:color w:val="auto"/>
        </w:rPr>
        <w:t>Senior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Indebtedness</w:t>
      </w:r>
      <w:r>
        <w:rPr>
          <w:rFonts w:ascii="Arial" w:cs="Arial" w:eastAsia="Arial" w:hAnsi="Arial"/>
          <w:sz w:val="16"/>
          <w:szCs w:val="16"/>
          <w:color w:val="auto"/>
        </w:rPr>
        <w:t>,” the phrase “subordinated in right of payment” means debt subordination only and not lien subordination, and accordingly, (x) unsecured indebtedness shall not be deemed to be subordinated in right of payment to secured indebtedness merely by virtue of the fact that it is unsecured, and</w:t>
      </w:r>
    </w:p>
    <w:p>
      <w:pPr>
        <w:spacing w:after="0" w:line="1" w:lineRule="exact"/>
        <w:rPr>
          <w:rFonts w:ascii="Arial" w:cs="Arial" w:eastAsia="Arial" w:hAnsi="Arial"/>
          <w:sz w:val="16"/>
          <w:szCs w:val="16"/>
          <w:color w:val="auto"/>
        </w:rPr>
      </w:pPr>
    </w:p>
    <w:p>
      <w:pPr>
        <w:ind w:left="4" w:hanging="4"/>
        <w:spacing w:after="0" w:line="255" w:lineRule="auto"/>
        <w:tabs>
          <w:tab w:leader="none" w:pos="2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90"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 Subsidiary of the Company that meets the definition of “significant subsidiary” in Article 1, Rule 1-02 of Regulation S-X under the Exchange Act. Each of the Company’s consolidated affiliated entities will be deemed to be a “subsidiary” for the purposes of the definition of “significant subsidiary” in Article 1, Rule 1-02 of Regulation S-X.</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has the meaning provided in Section 3.08(b)(i).</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87" w:name="page88"/>
    <w:bookmarkEnd w:id="87"/>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when used with respect to any Security or any installment of interest thereon, the date specified in such Security as the fixed date on which the principal (or any portion thereof) of or premium, if any, on such Security or such installment of interest is due and payable.</w:t>
      </w:r>
    </w:p>
    <w:p>
      <w:pPr>
        <w:spacing w:after="0" w:line="184"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(i) any corporation, association or other business entity (other than a partnership, joint venture, 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 (ii) any partnership, joint venture limited liability company or similar entity of which more than 50% of the capital accounts, distribution rights, total equity and voting interests or general or limited partnership interests, as applicable, is, in the case of clauses (i) and (ii), voting at the time owned or controlled, directly or indirectly, by (A) such Person, (B) such Person and one or more Subsidiaries of such Person or (C) one or more Subsidiaries of such Person. Unless otherwise specified herein, each reference to a Subsidiary will refer to a Subsidiary of the Company.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Company</w:t>
      </w:r>
      <w:r>
        <w:rPr>
          <w:rFonts w:ascii="Arial" w:cs="Arial" w:eastAsia="Arial" w:hAnsi="Arial"/>
          <w:sz w:val="18"/>
          <w:szCs w:val="18"/>
          <w:color w:val="auto"/>
        </w:rPr>
        <w:t>” has the meaning provided in Section 3.06(i).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Jurisdiction</w:t>
      </w:r>
      <w:r>
        <w:rPr>
          <w:rFonts w:ascii="Arial" w:cs="Arial" w:eastAsia="Arial" w:hAnsi="Arial"/>
          <w:sz w:val="18"/>
          <w:szCs w:val="18"/>
          <w:color w:val="auto"/>
        </w:rPr>
        <w:t>” has the meaning provided in Section 6.05(d).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Change</w:t>
      </w:r>
      <w:r>
        <w:rPr>
          <w:rFonts w:ascii="Arial" w:cs="Arial" w:eastAsia="Arial" w:hAnsi="Arial"/>
          <w:sz w:val="18"/>
          <w:szCs w:val="18"/>
          <w:color w:val="auto"/>
        </w:rPr>
        <w:t>” has the meaning provided in Section 4.07(a).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provided in Section 6.05(a).</w:t>
      </w:r>
    </w:p>
    <w:p>
      <w:pPr>
        <w:spacing w:after="0" w:line="225" w:lineRule="exact"/>
        <w:rPr>
          <w:sz w:val="20"/>
          <w:szCs w:val="20"/>
          <w:color w:val="auto"/>
        </w:rPr>
      </w:pPr>
    </w:p>
    <w:p>
      <w:pPr>
        <w:ind w:right="3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Equity</w:t>
      </w:r>
      <w:r>
        <w:rPr>
          <w:rFonts w:ascii="Arial" w:cs="Arial" w:eastAsia="Arial" w:hAnsi="Arial"/>
          <w:sz w:val="17"/>
          <w:szCs w:val="17"/>
          <w:color w:val="auto"/>
        </w:rPr>
        <w:t>” as of any date, means the total equity attributable to the Company’s shareholders on a consolidated basis determined in accordance with U.S. GAAP, as shown on the consolidated balance sheet of the Company for the most recent fiscal quarter.</w:t>
      </w:r>
    </w:p>
    <w:p>
      <w:pPr>
        <w:spacing w:after="0" w:line="146"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Payables</w:t>
      </w:r>
      <w:r>
        <w:rPr>
          <w:rFonts w:ascii="Arial" w:cs="Arial" w:eastAsia="Arial" w:hAnsi="Arial"/>
          <w:sz w:val="16"/>
          <w:szCs w:val="16"/>
          <w:color w:val="auto"/>
        </w:rPr>
        <w:t>”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right="3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Person named as the “</w:t>
      </w:r>
      <w:r>
        <w:rPr>
          <w:rFonts w:ascii="Arial" w:cs="Arial" w:eastAsia="Arial" w:hAnsi="Arial"/>
          <w:sz w:val="17"/>
          <w:szCs w:val="17"/>
          <w:u w:val="single" w:color="auto"/>
          <w:color w:val="auto"/>
        </w:rPr>
        <w:t>Trustee</w:t>
      </w:r>
      <w:r>
        <w:rPr>
          <w:rFonts w:ascii="Arial" w:cs="Arial" w:eastAsia="Arial" w:hAnsi="Arial"/>
          <w:sz w:val="17"/>
          <w:szCs w:val="17"/>
          <w:color w:val="auto"/>
        </w:rPr>
        <w:t>” in the first paragraph of this Indenture until a successor Trustee shall have become such with respect to one or more series of Securities pursuant to the applicable provisions of this Indenture, and thereafter “</w:t>
      </w:r>
      <w:r>
        <w:rPr>
          <w:rFonts w:ascii="Arial" w:cs="Arial" w:eastAsia="Arial" w:hAnsi="Arial"/>
          <w:sz w:val="17"/>
          <w:szCs w:val="17"/>
          <w:u w:val="single" w:color="auto"/>
          <w:color w:val="auto"/>
        </w:rPr>
        <w:t>Trustee</w:t>
      </w:r>
      <w:r>
        <w:rPr>
          <w:rFonts w:ascii="Arial" w:cs="Arial" w:eastAsia="Arial" w:hAnsi="Arial"/>
          <w:sz w:val="17"/>
          <w:szCs w:val="17"/>
          <w:color w:val="auto"/>
        </w:rPr>
        <w:t>” shall mean or include each Person who is then a Trustee hereunder, and if at any time there is more than one such Person, “</w:t>
      </w:r>
      <w:r>
        <w:rPr>
          <w:rFonts w:ascii="Arial" w:cs="Arial" w:eastAsia="Arial" w:hAnsi="Arial"/>
          <w:sz w:val="17"/>
          <w:szCs w:val="17"/>
          <w:u w:val="single" w:color="auto"/>
          <w:color w:val="auto"/>
        </w:rPr>
        <w:t>Trustee</w:t>
      </w:r>
      <w:r>
        <w:rPr>
          <w:rFonts w:ascii="Arial" w:cs="Arial" w:eastAsia="Arial" w:hAnsi="Arial"/>
          <w:sz w:val="17"/>
          <w:szCs w:val="17"/>
          <w:color w:val="auto"/>
        </w:rPr>
        <w:t>” as used with respect to the Securities of any series shall mean the Trustee with respect to Securities of that series.</w:t>
      </w:r>
    </w:p>
    <w:p>
      <w:pPr>
        <w:spacing w:after="0" w:line="17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such currency of the United States as at the time of payment shall be legal tender for the payment of public and private debts.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8" w:name="page89"/>
    <w:bookmarkEnd w:id="8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U.S. GAAP</w:t>
      </w:r>
      <w:r>
        <w:rPr>
          <w:rFonts w:ascii="Arial" w:cs="Arial" w:eastAsia="Arial" w:hAnsi="Arial"/>
          <w:sz w:val="18"/>
          <w:szCs w:val="18"/>
          <w:color w:val="auto"/>
        </w:rPr>
        <w:t>” refers to generally accepted accounting principles in the United States.</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Government Obligations</w:t>
      </w:r>
      <w:r>
        <w:rPr>
          <w:rFonts w:ascii="Arial" w:cs="Arial" w:eastAsia="Arial" w:hAnsi="Arial"/>
          <w:sz w:val="16"/>
          <w:szCs w:val="16"/>
          <w:color w:val="auto"/>
        </w:rPr>
        <w:t xml:space="preserve">” means securities that are (i) direct obligations of the United States for the payment of which its full faith and credit is pledged or (ii) obligations of an agency or instrumentality of the United States the payment of which is unconditionally guaranteed as a full faith and credit obligation by the United States,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6"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shall mean the United States of America (including the States and the District of Columbia), its territories and its possessions and other areas subject to its jurisdiction.</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 Person means all classes of Capital Stock of such Person then outstanding and normally entitled to vote in the election of directors, managers or trustees, as applicable, of such Person.</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For all purposes of this Indenture, except as otherwise expressly provided or unless the context otherwise requires:</w:t>
      </w:r>
    </w:p>
    <w:p>
      <w:pPr>
        <w:spacing w:after="0" w:line="62" w:lineRule="exact"/>
        <w:rPr>
          <w:sz w:val="20"/>
          <w:szCs w:val="20"/>
          <w:color w:val="auto"/>
        </w:rPr>
      </w:pPr>
    </w:p>
    <w:p>
      <w:pPr>
        <w:ind w:right="520" w:firstLine="987"/>
        <w:spacing w:after="0" w:line="277"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62" w:lineRule="exact"/>
        <w:rPr>
          <w:rFonts w:ascii="Arial" w:cs="Arial" w:eastAsia="Arial" w:hAnsi="Arial"/>
          <w:sz w:val="18"/>
          <w:szCs w:val="18"/>
          <w:color w:val="auto"/>
        </w:rPr>
      </w:pPr>
    </w:p>
    <w:p>
      <w:pPr>
        <w:ind w:right="640" w:firstLine="987"/>
        <w:spacing w:after="0" w:line="277" w:lineRule="auto"/>
        <w:tabs>
          <w:tab w:leader="none" w:pos="12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Article</w:t>
      </w:r>
      <w:r>
        <w:rPr>
          <w:rFonts w:ascii="Arial" w:cs="Arial" w:eastAsia="Arial" w:hAnsi="Arial"/>
          <w:sz w:val="18"/>
          <w:szCs w:val="18"/>
          <w:color w:val="auto"/>
        </w:rPr>
        <w:t>” or “</w:t>
      </w:r>
      <w:r>
        <w:rPr>
          <w:rFonts w:ascii="Arial" w:cs="Arial" w:eastAsia="Arial" w:hAnsi="Arial"/>
          <w:sz w:val="18"/>
          <w:szCs w:val="18"/>
          <w:u w:val="single" w:color="auto"/>
          <w:color w:val="auto"/>
        </w:rPr>
        <w:t>Section</w:t>
      </w:r>
      <w:r>
        <w:rPr>
          <w:rFonts w:ascii="Arial" w:cs="Arial" w:eastAsia="Arial" w:hAnsi="Arial"/>
          <w:sz w:val="18"/>
          <w:szCs w:val="18"/>
          <w:color w:val="auto"/>
        </w:rPr>
        <w:t>” or other subdivision herein are references to an Article, Section or other subdivision of the Indenture, unless the context otherwise requires; and</w:t>
      </w:r>
    </w:p>
    <w:p>
      <w:pPr>
        <w:spacing w:after="0" w:line="62"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any agreement, instrument, statute or regulation defined or referred to herein or in any instrument establishing the terms of any Securities (or executed in connection therewith) are references to such agreement, instrument, statute or regulation as from time to time amended, modified, supplemented or replaced, including (in the case of agreements or instruments) by waiver or consent and by succession of comparable successor agreements, instruments, statutes or regulations.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FORMS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Generally</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91" w:lineRule="auto"/>
        <w:tabs>
          <w:tab w:leader="none" w:pos="1236"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Securities of each series shall be substantially in the form set forth in Exhibit A attached hereto or as shall be established pursuant to a Company Order, Officers’ Certificate or in one or more indentures supplemental hereto, in each case with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58"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63"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form of the Trustee’s certificate of authentication to be borne by the Securities shall be substantially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w w:val="92"/>
              </w:rPr>
              <w:t>Date of authentication:</w:t>
            </w:r>
          </w:p>
        </w:tc>
        <w:tc>
          <w:tcPr>
            <w:tcW w:w="900" w:type="dxa"/>
            <w:vAlign w:val="bottom"/>
            <w:tcBorders>
              <w:bottom w:val="single" w:sz="8" w:color="auto"/>
            </w:tcBorders>
          </w:tcPr>
          <w:p>
            <w:pPr>
              <w:spacing w:after="0"/>
              <w:rPr>
                <w:sz w:val="18"/>
                <w:szCs w:val="18"/>
                <w:color w:val="auto"/>
              </w:rPr>
            </w:pPr>
          </w:p>
        </w:tc>
        <w:tc>
          <w:tcPr>
            <w:tcW w:w="8440" w:type="dxa"/>
            <w:vAlign w:val="bottom"/>
            <w:gridSpan w:val="2"/>
          </w:tcPr>
          <w:p>
            <w:pPr>
              <w:ind w:left="3040"/>
              <w:spacing w:after="0"/>
              <w:rPr>
                <w:sz w:val="20"/>
                <w:szCs w:val="20"/>
                <w:color w:val="auto"/>
              </w:rPr>
            </w:pPr>
            <w:r>
              <w:rPr>
                <w:rFonts w:ascii="Arial" w:cs="Arial" w:eastAsia="Arial" w:hAnsi="Arial"/>
                <w:sz w:val="18"/>
                <w:szCs w:val="18"/>
                <w:color w:val="auto"/>
              </w:rPr>
              <w:t>CITIBANK. N.A.,</w:t>
            </w:r>
          </w:p>
        </w:tc>
      </w:tr>
      <w:tr>
        <w:trPr>
          <w:trHeight w:val="237"/>
        </w:trPr>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40" w:type="dxa"/>
            <w:vAlign w:val="bottom"/>
            <w:gridSpan w:val="2"/>
          </w:tcPr>
          <w:p>
            <w:pPr>
              <w:ind w:left="3040"/>
              <w:spacing w:after="0"/>
              <w:rPr>
                <w:sz w:val="20"/>
                <w:szCs w:val="20"/>
                <w:color w:val="auto"/>
              </w:rPr>
            </w:pPr>
            <w:r>
              <w:rPr>
                <w:rFonts w:ascii="Arial" w:cs="Arial" w:eastAsia="Arial" w:hAnsi="Arial"/>
                <w:sz w:val="18"/>
                <w:szCs w:val="18"/>
                <w:color w:val="auto"/>
              </w:rPr>
              <w:t>as Trustee</w:t>
            </w:r>
          </w:p>
        </w:tc>
      </w:tr>
      <w:tr>
        <w:trPr>
          <w:trHeight w:val="445"/>
        </w:trPr>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40" w:type="dxa"/>
            <w:vAlign w:val="bottom"/>
            <w:gridSpan w:val="2"/>
          </w:tcPr>
          <w:p>
            <w:pPr>
              <w:ind w:left="3040"/>
              <w:spacing w:after="0"/>
              <w:rPr>
                <w:sz w:val="20"/>
                <w:szCs w:val="20"/>
                <w:color w:val="auto"/>
              </w:rPr>
            </w:pPr>
            <w:r>
              <w:rPr>
                <w:rFonts w:ascii="Arial" w:cs="Arial" w:eastAsia="Arial" w:hAnsi="Arial"/>
                <w:sz w:val="18"/>
                <w:szCs w:val="18"/>
                <w:color w:val="auto"/>
              </w:rPr>
              <w:t>By:</w:t>
            </w:r>
          </w:p>
        </w:tc>
      </w:tr>
      <w:tr>
        <w:trPr>
          <w:trHeight w:val="209"/>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40" w:type="dxa"/>
            <w:vAlign w:val="bottom"/>
            <w:gridSpan w:val="2"/>
          </w:tcPr>
          <w:p>
            <w:pPr>
              <w:ind w:left="3480"/>
              <w:spacing w:after="0"/>
              <w:rPr>
                <w:sz w:val="20"/>
                <w:szCs w:val="20"/>
                <w:color w:val="auto"/>
              </w:rPr>
            </w:pPr>
            <w:r>
              <w:rPr>
                <w:rFonts w:ascii="Arial" w:cs="Arial" w:eastAsia="Arial" w:hAnsi="Arial"/>
                <w:sz w:val="18"/>
                <w:szCs w:val="18"/>
                <w:color w:val="auto"/>
              </w:rPr>
              <w:t>Title:</w:t>
            </w:r>
          </w:p>
        </w:tc>
      </w:tr>
      <w:tr>
        <w:trPr>
          <w:trHeight w:val="364"/>
        </w:trPr>
        <w:tc>
          <w:tcPr>
            <w:tcW w:w="1680" w:type="dxa"/>
            <w:vAlign w:val="bottom"/>
          </w:tcPr>
          <w:p>
            <w:pPr>
              <w:spacing w:after="0"/>
              <w:rPr>
                <w:sz w:val="24"/>
                <w:szCs w:val="24"/>
                <w:color w:val="auto"/>
              </w:rPr>
            </w:pPr>
          </w:p>
        </w:tc>
        <w:tc>
          <w:tcPr>
            <w:tcW w:w="4380" w:type="dxa"/>
            <w:vAlign w:val="bottom"/>
            <w:gridSpan w:val="2"/>
          </w:tcPr>
          <w:p>
            <w:pPr>
              <w:jc w:val="right"/>
              <w:ind w:right="370"/>
              <w:spacing w:after="0"/>
              <w:rPr>
                <w:sz w:val="20"/>
                <w:szCs w:val="20"/>
                <w:color w:val="auto"/>
              </w:rPr>
            </w:pPr>
            <w:r>
              <w:rPr>
                <w:rFonts w:ascii="Arial" w:cs="Arial" w:eastAsia="Arial" w:hAnsi="Arial"/>
                <w:sz w:val="18"/>
                <w:szCs w:val="18"/>
                <w:color w:val="auto"/>
              </w:rPr>
              <w:t>10</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DEBT SECURITIES</w:t>
      </w:r>
    </w:p>
    <w:p>
      <w:pPr>
        <w:spacing w:after="0" w:line="229"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Amount Unlimited; Issuable in Series</w:t>
      </w:r>
      <w:r>
        <w:rPr>
          <w:rFonts w:ascii="Arial" w:cs="Arial" w:eastAsia="Arial" w:hAnsi="Arial"/>
          <w:sz w:val="17"/>
          <w:szCs w:val="17"/>
          <w:color w:val="auto"/>
        </w:rPr>
        <w:t>. The aggregate principal amount of Securities which may be authenticated and delivered under this Indenture is unlimited. The Securities may be issued from time to time in one or more series. There shall be set forth in a Company Order, Officers’ Certificate or in one or more indentures supplemental hereto, prior to the issuance of Securities of any series:</w:t>
      </w:r>
    </w:p>
    <w:p>
      <w:pPr>
        <w:spacing w:after="0" w:line="57" w:lineRule="exact"/>
        <w:rPr>
          <w:sz w:val="20"/>
          <w:szCs w:val="20"/>
          <w:color w:val="auto"/>
        </w:rPr>
      </w:pPr>
    </w:p>
    <w:p>
      <w:pPr>
        <w:ind w:firstLine="987"/>
        <w:spacing w:after="0" w:line="277" w:lineRule="auto"/>
        <w:tabs>
          <w:tab w:leader="none" w:pos="12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62" w:lineRule="exact"/>
        <w:rPr>
          <w:rFonts w:ascii="Arial" w:cs="Arial" w:eastAsia="Arial" w:hAnsi="Arial"/>
          <w:sz w:val="18"/>
          <w:szCs w:val="18"/>
          <w:color w:val="auto"/>
        </w:rPr>
      </w:pPr>
    </w:p>
    <w:p>
      <w:pPr>
        <w:ind w:right="80" w:firstLine="987"/>
        <w:spacing w:after="0" w:line="311" w:lineRule="auto"/>
        <w:tabs>
          <w:tab w:leader="none" w:pos="1246"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 and the percentage or percentages of principal amount at which the Securities of the series will be issued;</w:t>
      </w:r>
    </w:p>
    <w:p>
      <w:pPr>
        <w:spacing w:after="0" w:line="40" w:lineRule="exact"/>
        <w:rPr>
          <w:rFonts w:ascii="Arial" w:cs="Arial" w:eastAsia="Arial" w:hAnsi="Arial"/>
          <w:sz w:val="16"/>
          <w:szCs w:val="16"/>
          <w:color w:val="auto"/>
        </w:rPr>
      </w:pPr>
    </w:p>
    <w:p>
      <w:pPr>
        <w:jc w:val="both"/>
        <w:ind w:right="280" w:firstLine="987"/>
        <w:spacing w:after="0" w:line="263" w:lineRule="auto"/>
        <w:tabs>
          <w:tab w:leader="none" w:pos="12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75"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79" w:lineRule="exact"/>
        <w:rPr>
          <w:rFonts w:ascii="Arial" w:cs="Arial" w:eastAsia="Arial" w:hAnsi="Arial"/>
          <w:sz w:val="18"/>
          <w:szCs w:val="18"/>
          <w:color w:val="auto"/>
        </w:rPr>
      </w:pPr>
    </w:p>
    <w:p>
      <w:pPr>
        <w:ind w:right="100" w:firstLine="987"/>
        <w:spacing w:after="0" w:line="277" w:lineRule="auto"/>
        <w:tabs>
          <w:tab w:leader="none" w:pos="12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amount of payment of principal of, premium, if any, or interest on, the Securities of the series may be determined with reference to an index, formula or other method;</w:t>
      </w:r>
    </w:p>
    <w:p>
      <w:pPr>
        <w:spacing w:after="0" w:line="62" w:lineRule="exact"/>
        <w:rPr>
          <w:rFonts w:ascii="Arial" w:cs="Arial" w:eastAsia="Arial" w:hAnsi="Arial"/>
          <w:sz w:val="18"/>
          <w:szCs w:val="18"/>
          <w:color w:val="auto"/>
        </w:rPr>
      </w:pPr>
    </w:p>
    <w:p>
      <w:pPr>
        <w:ind w:right="60" w:firstLine="987"/>
        <w:spacing w:after="0" w:line="259" w:lineRule="auto"/>
        <w:tabs>
          <w:tab w:leader="none" w:pos="121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 (each such place, the “</w:t>
      </w:r>
      <w:r>
        <w:rPr>
          <w:rFonts w:ascii="Arial" w:cs="Arial" w:eastAsia="Arial" w:hAnsi="Arial"/>
          <w:sz w:val="18"/>
          <w:szCs w:val="18"/>
          <w:u w:val="single" w:color="auto"/>
          <w:color w:val="auto"/>
        </w:rPr>
        <w:t>Place of Payment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987"/>
        <w:spacing w:after="0" w:line="308" w:lineRule="auto"/>
        <w:tabs>
          <w:tab w:leader="none" w:pos="124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91" w:name="page92"/>
    <w:bookmarkEnd w:id="91"/>
    <w:p>
      <w:pPr>
        <w:ind w:left="4" w:right="80" w:firstLine="987"/>
        <w:spacing w:after="0" w:line="259" w:lineRule="auto"/>
        <w:tabs>
          <w:tab w:leader="none" w:pos="1250"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and the terms and conditions upon which Securities of the series shall be redeemed, purchased or repaid, in whole or in part, pursuant to such obligation;</w:t>
      </w:r>
    </w:p>
    <w:p>
      <w:pPr>
        <w:spacing w:after="0" w:line="78" w:lineRule="exact"/>
        <w:rPr>
          <w:rFonts w:ascii="Arial" w:cs="Arial" w:eastAsia="Arial" w:hAnsi="Arial"/>
          <w:sz w:val="18"/>
          <w:szCs w:val="18"/>
          <w:color w:val="auto"/>
        </w:rPr>
      </w:pPr>
    </w:p>
    <w:p>
      <w:pPr>
        <w:ind w:left="4" w:right="320" w:firstLine="987"/>
        <w:spacing w:after="0" w:line="277" w:lineRule="auto"/>
        <w:tabs>
          <w:tab w:leader="none" w:pos="121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other than denominations of US$2,000 and multiples of US$1,000 in excess thereof, the denominations in which Securities of the series shall be issuable;</w:t>
      </w:r>
    </w:p>
    <w:p>
      <w:pPr>
        <w:spacing w:after="0" w:line="62" w:lineRule="exact"/>
        <w:rPr>
          <w:rFonts w:ascii="Arial" w:cs="Arial" w:eastAsia="Arial" w:hAnsi="Arial"/>
          <w:sz w:val="18"/>
          <w:szCs w:val="18"/>
          <w:color w:val="auto"/>
        </w:rPr>
      </w:pPr>
    </w:p>
    <w:p>
      <w:pPr>
        <w:ind w:left="4" w:firstLine="987"/>
        <w:spacing w:after="0" w:line="277" w:lineRule="auto"/>
        <w:tabs>
          <w:tab w:leader="none" w:pos="121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which shall be payable upon declaration of acceleration of the Maturity thereof pursuant to Section 7.02;</w:t>
      </w:r>
    </w:p>
    <w:p>
      <w:pPr>
        <w:spacing w:after="0" w:line="62" w:lineRule="exact"/>
        <w:rPr>
          <w:rFonts w:ascii="Arial" w:cs="Arial" w:eastAsia="Arial" w:hAnsi="Arial"/>
          <w:sz w:val="18"/>
          <w:szCs w:val="18"/>
          <w:color w:val="auto"/>
        </w:rPr>
      </w:pPr>
    </w:p>
    <w:p>
      <w:pPr>
        <w:ind w:left="4" w:right="280" w:firstLine="987"/>
        <w:spacing w:after="0" w:line="277" w:lineRule="auto"/>
        <w:tabs>
          <w:tab w:leader="none" w:pos="125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as Original Issue Discount Securities and the amount of discount or premium, if any, with which such Securities may be issued;</w:t>
      </w:r>
    </w:p>
    <w:p>
      <w:pPr>
        <w:spacing w:after="0" w:line="62" w:lineRule="exact"/>
        <w:rPr>
          <w:rFonts w:ascii="Arial" w:cs="Arial" w:eastAsia="Arial" w:hAnsi="Arial"/>
          <w:sz w:val="18"/>
          <w:szCs w:val="18"/>
          <w:color w:val="auto"/>
        </w:rPr>
      </w:pPr>
    </w:p>
    <w:p>
      <w:pPr>
        <w:ind w:left="4" w:right="140" w:firstLine="987"/>
        <w:spacing w:after="0" w:line="277" w:lineRule="auto"/>
        <w:tabs>
          <w:tab w:leader="none" w:pos="121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provisions, if any, for the defeasance of Securities of the series in whole or in part and any addition or change in the provisions related to satisfaction and discharge;</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1"/>
          <w:numId w:val="72"/>
        </w:numPr>
        <w:rPr>
          <w:rFonts w:ascii="Arial" w:cs="Arial" w:eastAsia="Arial" w:hAnsi="Arial"/>
          <w:sz w:val="16"/>
          <w:szCs w:val="16"/>
          <w:color w:val="auto"/>
        </w:rPr>
      </w:pPr>
      <w:r>
        <w:rPr>
          <w:rFonts w:ascii="Arial" w:cs="Arial" w:eastAsia="Arial" w:hAnsi="Arial"/>
          <w:sz w:val="16"/>
          <w:szCs w:val="16"/>
          <w:color w:val="auto"/>
        </w:rPr>
        <w:t>whether the Securities of the series are to be issued in whole or in part in the form of one or more Global Securities and, in such case,</w:t>
      </w:r>
    </w:p>
    <w:p>
      <w:pPr>
        <w:spacing w:after="0" w:line="46" w:lineRule="exact"/>
        <w:rPr>
          <w:rFonts w:ascii="Arial" w:cs="Arial" w:eastAsia="Arial" w:hAnsi="Arial"/>
          <w:sz w:val="16"/>
          <w:szCs w:val="16"/>
          <w:color w:val="auto"/>
        </w:rPr>
      </w:pPr>
    </w:p>
    <w:p>
      <w:pPr>
        <w:jc w:val="both"/>
        <w:ind w:left="4" w:hanging="4"/>
        <w:spacing w:after="0" w:line="255" w:lineRule="auto"/>
        <w:tabs>
          <w:tab w:leader="none" w:pos="2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Depositary for such Global Security or Securities, (ii) the form of legend in addition to or in lieu of that in Section 3.03(f) which shall be borne by such Global Security and (iii) the terms and conditions, if any, upon which interests in such Global Security or Securities may be exchanged in whole or in part for the individual Securities represented thereby;</w:t>
      </w:r>
    </w:p>
    <w:p>
      <w:pPr>
        <w:spacing w:after="0" w:line="81" w:lineRule="exact"/>
        <w:rPr>
          <w:rFonts w:ascii="Arial" w:cs="Arial" w:eastAsia="Arial" w:hAnsi="Arial"/>
          <w:sz w:val="18"/>
          <w:szCs w:val="18"/>
          <w:color w:val="auto"/>
        </w:rPr>
      </w:pPr>
    </w:p>
    <w:p>
      <w:pPr>
        <w:ind w:left="1244" w:hanging="253"/>
        <w:spacing w:after="0"/>
        <w:tabs>
          <w:tab w:leader="none" w:pos="1244"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date as of which any Global Security of the series shall be dated if other than the original issuance of the first Security of the series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to be issued;</w:t>
      </w:r>
    </w:p>
    <w:p>
      <w:pPr>
        <w:spacing w:after="0" w:line="102" w:lineRule="exact"/>
        <w:rPr>
          <w:rFonts w:ascii="Arial" w:cs="Arial" w:eastAsia="Arial" w:hAnsi="Arial"/>
          <w:sz w:val="16"/>
          <w:szCs w:val="16"/>
          <w:color w:val="auto"/>
        </w:rPr>
      </w:pPr>
    </w:p>
    <w:p>
      <w:pPr>
        <w:ind w:left="1244" w:hanging="253"/>
        <w:spacing w:after="0"/>
        <w:tabs>
          <w:tab w:leader="none" w:pos="124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form of the Securities of the series;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whether the Securities of the series are subject to subordination and the terms of such subordination;</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whether the Securities of the series shall be secured;</w:t>
      </w:r>
    </w:p>
    <w:p>
      <w:pPr>
        <w:spacing w:after="0" w:line="117" w:lineRule="exact"/>
        <w:rPr>
          <w:rFonts w:ascii="Arial" w:cs="Arial" w:eastAsia="Arial" w:hAnsi="Arial"/>
          <w:sz w:val="18"/>
          <w:szCs w:val="18"/>
          <w:color w:val="auto"/>
        </w:rPr>
      </w:pPr>
    </w:p>
    <w:p>
      <w:pPr>
        <w:ind w:left="4" w:right="20" w:firstLine="987"/>
        <w:spacing w:after="0" w:line="277" w:lineRule="auto"/>
        <w:tabs>
          <w:tab w:leader="none" w:pos="1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securities exchange(s) or automated quotation system(s) on which the Securities of the series will be listed or admitted to trading, as applicable, if any;</w:t>
      </w:r>
    </w:p>
    <w:p>
      <w:pPr>
        <w:spacing w:after="0" w:line="62" w:lineRule="exact"/>
        <w:rPr>
          <w:rFonts w:ascii="Arial" w:cs="Arial" w:eastAsia="Arial" w:hAnsi="Arial"/>
          <w:sz w:val="18"/>
          <w:szCs w:val="18"/>
          <w:color w:val="auto"/>
        </w:rPr>
      </w:pPr>
    </w:p>
    <w:p>
      <w:pPr>
        <w:ind w:left="1224" w:hanging="233"/>
        <w:spacing w:after="0"/>
        <w:tabs>
          <w:tab w:leader="none" w:pos="122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Securities of the series;</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addition or change in the provisions related to compensation and reimbursement of the Trustee which applies to the Securities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series;</w:t>
      </w:r>
    </w:p>
    <w:p>
      <w:pPr>
        <w:spacing w:after="0" w:line="102" w:lineRule="exact"/>
        <w:rPr>
          <w:rFonts w:ascii="Arial" w:cs="Arial" w:eastAsia="Arial" w:hAnsi="Arial"/>
          <w:sz w:val="16"/>
          <w:szCs w:val="16"/>
          <w:color w:val="auto"/>
        </w:rPr>
      </w:pPr>
    </w:p>
    <w:p>
      <w:pPr>
        <w:ind w:left="4" w:right="140" w:firstLine="987"/>
        <w:spacing w:after="0" w:line="277" w:lineRule="auto"/>
        <w:tabs>
          <w:tab w:leader="none" w:pos="125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supplemental indentures set forth in Sections 14.01, 14.02 and 14.04 which applies to the Securities of the series;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92" w:name="page93"/>
    <w:bookmarkEnd w:id="92"/>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provisions, if any, granting special rights to Holders upon the occurrence of specified events;</w:t>
      </w:r>
    </w:p>
    <w:p>
      <w:pPr>
        <w:spacing w:after="0" w:line="117" w:lineRule="exact"/>
        <w:rPr>
          <w:rFonts w:ascii="Arial" w:cs="Arial" w:eastAsia="Arial" w:hAnsi="Arial"/>
          <w:sz w:val="18"/>
          <w:szCs w:val="18"/>
          <w:color w:val="auto"/>
        </w:rPr>
      </w:pPr>
    </w:p>
    <w:p>
      <w:pPr>
        <w:ind w:right="60" w:firstLine="987"/>
        <w:spacing w:after="0" w:line="263" w:lineRule="auto"/>
        <w:tabs>
          <w:tab w:leader="none" w:pos="12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VI which applies to the Securities of the series</w:t>
      </w:r>
    </w:p>
    <w:p>
      <w:pPr>
        <w:spacing w:after="0" w:line="117"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Securities of such series are to be convertible into or exchangeable for any securities or property of any Person (including the Company), the terms and conditions upon which such Securities will be so convertible or exchangeable, and any additions or changes to this Indenture, if any, to permit or facilitate such conversion or exchange; and</w:t>
      </w:r>
    </w:p>
    <w:p>
      <w:pPr>
        <w:spacing w:after="0" w:line="75" w:lineRule="exact"/>
        <w:rPr>
          <w:rFonts w:ascii="Arial" w:cs="Arial" w:eastAsia="Arial" w:hAnsi="Arial"/>
          <w:sz w:val="18"/>
          <w:szCs w:val="18"/>
          <w:color w:val="auto"/>
        </w:rPr>
      </w:pPr>
    </w:p>
    <w:p>
      <w:pPr>
        <w:jc w:val="both"/>
        <w:ind w:right="220" w:firstLine="987"/>
        <w:spacing w:after="0" w:line="259" w:lineRule="auto"/>
        <w:tabs>
          <w:tab w:leader="none" w:pos="12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terms shall not be inconsistent with the provisions of this Indenture, except as permitted by Section 14.01, but which may modify or delete any provision of this Indenture insofar as it applies to such series), including any terms which may be required by or advisable under the laws of the United States or regulations thereunder or advisable (as determined by the Company) in connection with the marketing of Securities of the series.</w:t>
      </w:r>
    </w:p>
    <w:p>
      <w:pPr>
        <w:spacing w:after="0" w:line="187"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All Securities of any one series shall be substantially identical, except as to denomination and except as may otherwise be provided herein or set forth in a Company Order, Officers’ Certificate or in one or more indentures supplemental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additional Securities of an outstanding series are issued, such additional Securities shall not have the same CUSIP, ISIN or other identifying number unless such additional Securities are fungible with the outstanding Securities of such series for U.S. federal income tax purposes.</w:t>
      </w:r>
    </w:p>
    <w:p>
      <w:pPr>
        <w:spacing w:after="0" w:line="17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In the absence of any specification pursuant to Section 3.01 with respect to Securities of any series, the Securities of such series shall be issuable only as Securities in denominations of US$2,000 and multiples of US$1,000 in excess thereof, and shall be payable only in U.S. Dollars.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63" w:lineRule="auto"/>
        <w:tabs>
          <w:tab w:leader="none" w:pos="12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Securities shall be executed in the name and on behalf of the Company by an Officer. Such signatures may be the manual or facsimile signatures of the present or any future such Officer. If the Person whose signature is on a Security no longer holds that office at the time the Security is authenticated and delivered, the Security shall nevertheless be valid.</w:t>
      </w:r>
    </w:p>
    <w:p>
      <w:pPr>
        <w:spacing w:after="0" w:line="75" w:lineRule="exact"/>
        <w:rPr>
          <w:rFonts w:ascii="Arial" w:cs="Arial" w:eastAsia="Arial" w:hAnsi="Arial"/>
          <w:sz w:val="18"/>
          <w:szCs w:val="18"/>
          <w:color w:val="auto"/>
        </w:rPr>
      </w:pPr>
    </w:p>
    <w:p>
      <w:pPr>
        <w:jc w:val="both"/>
        <w:ind w:firstLine="987"/>
        <w:spacing w:after="0" w:line="296" w:lineRule="auto"/>
        <w:tabs>
          <w:tab w:leader="none" w:pos="1246" w:val="left"/>
        </w:tabs>
        <w:numPr>
          <w:ilvl w:val="0"/>
          <w:numId w:val="75"/>
        </w:numPr>
        <w:rPr>
          <w:rFonts w:ascii="Arial" w:cs="Arial" w:eastAsia="Arial" w:hAnsi="Arial"/>
          <w:sz w:val="16"/>
          <w:szCs w:val="16"/>
          <w:color w:val="auto"/>
        </w:rPr>
      </w:pPr>
      <w:r>
        <w:rPr>
          <w:rFonts w:ascii="Arial" w:cs="Arial" w:eastAsia="Arial" w:hAnsi="Arial"/>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Company Order or Officers’ Certificate setting forth the terms of the Securities of a series. The Trustee shall thereupon authenticate and deliver such Securities without any further action by the Company. The Company Order shall specify the principal amount of Securities to be authenticated and the date on which the original issue of Securities is to be authenticated.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93" w:name="page94"/>
    <w:bookmarkEnd w:id="93"/>
    <w:p>
      <w:pPr>
        <w:ind w:right="180" w:firstLine="987"/>
        <w:spacing w:after="0" w:line="279"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authenticating the first Securities of any series and accepting the additional responsibilities under this Indenture in relation to such Securities, the Trustee shall receive, and (subject to Section 11.02) shall be fully protected in relying upon, an Officers’ Certificate, prepared in accordance with Section 16.01 stating that the conditions precedent, if any, provided for in the Indenture have been complied with, and an Opinion of Counsel, prepared in accordance with Section 16.01 and substantially in the form set forth below:</w:t>
      </w:r>
    </w:p>
    <w:p>
      <w:pPr>
        <w:spacing w:after="0" w:line="63" w:lineRule="exact"/>
        <w:rPr>
          <w:rFonts w:ascii="Arial" w:cs="Arial" w:eastAsia="Arial" w:hAnsi="Arial"/>
          <w:sz w:val="17"/>
          <w:szCs w:val="17"/>
          <w:color w:val="auto"/>
        </w:rPr>
      </w:pPr>
    </w:p>
    <w:p>
      <w:pPr>
        <w:ind w:left="440" w:right="160" w:firstLine="948"/>
        <w:spacing w:after="0" w:line="277" w:lineRule="auto"/>
        <w:tabs>
          <w:tab w:leader="none" w:pos="160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that the form or forms of such Securities have been established in accordance with Article II and Section 3.01 and in conformity with the other provisions of this Indenture;</w:t>
      </w:r>
    </w:p>
    <w:p>
      <w:pPr>
        <w:spacing w:after="0" w:line="62" w:lineRule="exact"/>
        <w:rPr>
          <w:rFonts w:ascii="Arial" w:cs="Arial" w:eastAsia="Arial" w:hAnsi="Arial"/>
          <w:sz w:val="18"/>
          <w:szCs w:val="18"/>
          <w:color w:val="auto"/>
        </w:rPr>
      </w:pPr>
    </w:p>
    <w:p>
      <w:pPr>
        <w:ind w:left="440" w:right="680" w:firstLine="948"/>
        <w:spacing w:after="0" w:line="277" w:lineRule="auto"/>
        <w:tabs>
          <w:tab w:leader="none" w:pos="16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accordance with Section 3.01 and in conformity with the other provisions of this Indenture;</w:t>
      </w:r>
    </w:p>
    <w:p>
      <w:pPr>
        <w:spacing w:after="0" w:line="62" w:lineRule="exact"/>
        <w:rPr>
          <w:rFonts w:ascii="Arial" w:cs="Arial" w:eastAsia="Arial" w:hAnsi="Arial"/>
          <w:sz w:val="18"/>
          <w:szCs w:val="18"/>
          <w:color w:val="auto"/>
        </w:rPr>
      </w:pPr>
    </w:p>
    <w:p>
      <w:pPr>
        <w:ind w:left="440" w:right="200" w:firstLine="948"/>
        <w:spacing w:after="0" w:line="259" w:lineRule="auto"/>
        <w:tabs>
          <w:tab w:leader="none" w:pos="170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 and</w:t>
      </w:r>
    </w:p>
    <w:p>
      <w:pPr>
        <w:spacing w:after="0" w:line="78" w:lineRule="exact"/>
        <w:rPr>
          <w:rFonts w:ascii="Arial" w:cs="Arial" w:eastAsia="Arial" w:hAnsi="Arial"/>
          <w:sz w:val="18"/>
          <w:szCs w:val="18"/>
          <w:color w:val="auto"/>
        </w:rPr>
      </w:pPr>
    </w:p>
    <w:p>
      <w:pPr>
        <w:ind w:left="440" w:right="160" w:firstLine="948"/>
        <w:spacing w:after="0" w:line="277" w:lineRule="auto"/>
        <w:tabs>
          <w:tab w:leader="none" w:pos="16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that all conditions precedent, if any, provided for in the Indenture in respect of the authentication and delivery by the Company of such Securities have been complied with.</w:t>
      </w:r>
    </w:p>
    <w:p>
      <w:pPr>
        <w:spacing w:after="0" w:line="170"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Notwithstanding the provisions of the preceding paragraph, if all Securities of a series are not to be originally issued at one time, it shall not be necessary to deliver the Officers’ Certificate or Opinion of Counsel otherwise required pursuant to such preceding paragraph at or prior to the authentication of each Security of such series if such Officers’ Certificate or Opinion of Counsel is delivered at or prior to the authentication upon original issuance of the first Security of such series to be issued;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(c) is intended to derogate Trustee’s rights to receive an Officers’ Certificate and Opinion of Counsel under Section 16.01.</w:t>
      </w:r>
    </w:p>
    <w:p>
      <w:pPr>
        <w:spacing w:after="0" w:line="80" w:lineRule="exact"/>
        <w:rPr>
          <w:sz w:val="20"/>
          <w:szCs w:val="20"/>
          <w:color w:val="auto"/>
        </w:rPr>
      </w:pPr>
    </w:p>
    <w:p>
      <w:pPr>
        <w:ind w:firstLine="987"/>
        <w:spacing w:after="0" w:line="308" w:lineRule="auto"/>
        <w:tabs>
          <w:tab w:leader="none" w:pos="124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94" w:name="page95"/>
    <w:bookmarkEnd w:id="94"/>
    <w:p>
      <w:pPr>
        <w:ind w:right="20" w:firstLine="987"/>
        <w:spacing w:after="0" w:line="255" w:lineRule="auto"/>
        <w:tabs>
          <w:tab w:leader="none" w:pos="1216"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if in registered form, in the name of the Depositary for such Global Security or Securities or the nominee of such Depositary, (iii) shall be delivered by the Trustee to such Depositary or pursuant to such Depositary’s instruction and (iv) shall bear a legend substantially to the following effect:</w:t>
      </w:r>
    </w:p>
    <w:p>
      <w:pPr>
        <w:spacing w:after="0" w:line="192"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8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aggregate principal amount of each Global Security may from time to time be increased or decreased by adjustments made on the records of the Security Custodian, as provided in this Indenture.</w:t>
      </w:r>
    </w:p>
    <w:p>
      <w:pPr>
        <w:spacing w:after="0" w:line="62" w:lineRule="exact"/>
        <w:rPr>
          <w:sz w:val="20"/>
          <w:szCs w:val="20"/>
          <w:color w:val="auto"/>
        </w:rPr>
      </w:pPr>
    </w:p>
    <w:p>
      <w:pPr>
        <w:ind w:right="40" w:firstLine="987"/>
        <w:spacing w:after="0" w:line="342" w:lineRule="auto"/>
        <w:tabs>
          <w:tab w:leader="none" w:pos="12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5" w:lineRule="exact"/>
        <w:rPr>
          <w:rFonts w:ascii="Arial" w:cs="Arial" w:eastAsia="Arial" w:hAnsi="Arial"/>
          <w:sz w:val="16"/>
          <w:szCs w:val="16"/>
          <w:color w:val="auto"/>
        </w:rPr>
      </w:pPr>
    </w:p>
    <w:p>
      <w:pPr>
        <w:ind w:right="60" w:firstLine="987"/>
        <w:spacing w:after="0" w:line="290" w:lineRule="auto"/>
        <w:tabs>
          <w:tab w:leader="none" w:pos="12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Members of, or participants in, the Depositary (“</w:t>
      </w:r>
      <w:r>
        <w:rPr>
          <w:rFonts w:ascii="Arial" w:cs="Arial" w:eastAsia="Arial" w:hAnsi="Arial"/>
          <w:sz w:val="16"/>
          <w:szCs w:val="16"/>
          <w:u w:val="single" w:color="auto"/>
          <w:color w:val="auto"/>
        </w:rPr>
        <w:t>Members</w:t>
      </w:r>
      <w:r>
        <w:rPr>
          <w:rFonts w:ascii="Arial" w:cs="Arial" w:eastAsia="Arial" w:hAnsi="Arial"/>
          <w:sz w:val="16"/>
          <w:szCs w:val="16"/>
          <w:color w:val="auto"/>
        </w:rPr>
        <w:t>”)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57" w:lineRule="exact"/>
        <w:rPr>
          <w:rFonts w:ascii="Arial" w:cs="Arial" w:eastAsia="Arial" w:hAnsi="Arial"/>
          <w:sz w:val="16"/>
          <w:szCs w:val="16"/>
          <w:color w:val="auto"/>
        </w:rPr>
      </w:pPr>
    </w:p>
    <w:p>
      <w:pPr>
        <w:ind w:right="140" w:firstLine="987"/>
        <w:spacing w:after="0" w:line="279" w:lineRule="auto"/>
        <w:tabs>
          <w:tab w:leader="none" w:pos="1206"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by manual signature of an authorized signatory of the Trustee, and such certificate upon any Security shall be conclusive evidence, and the only evidence, that such Security has been duly authenticated and delivered hereunder and is entitled to the benefits of this Indenture.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95" w:name="page96"/>
    <w:bookmarkEnd w:id="95"/>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54" w:lineRule="auto"/>
        <w:tabs>
          <w:tab w:leader="none" w:pos="11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receipt of a Company Order, the Trustee shall authenticate and deliver, temporary Securities that are printed, lithographed, typewritten, mimeographed or otherwise reproduced, in any authorized denomination, substantially of the tenor of the definitive Securities in lieu of which they are issued, in registered form and with such appropriate insertions, omissions, substitutions and other variations as the officers executing such temporary Securities may determine, as conclusively evidenced by their execution of such temporary Securities. Any such temporary Security may be in global form,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83" w:lineRule="exact"/>
        <w:rPr>
          <w:rFonts w:ascii="Arial" w:cs="Arial" w:eastAsia="Arial" w:hAnsi="Arial"/>
          <w:sz w:val="18"/>
          <w:szCs w:val="18"/>
          <w:color w:val="auto"/>
        </w:rPr>
      </w:pPr>
    </w:p>
    <w:p>
      <w:pPr>
        <w:ind w:left="-40" w:right="20" w:firstLine="987"/>
        <w:spacing w:after="0" w:line="272" w:lineRule="auto"/>
        <w:tabs>
          <w:tab w:leader="none" w:pos="1206"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temporary Securities of any series are issued, the Company shall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maintained by the Company in a Place of Payment for such purposes provided in Section 6.02,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69" w:lineRule="exact"/>
        <w:rPr>
          <w:rFonts w:ascii="Arial" w:cs="Arial" w:eastAsia="Arial" w:hAnsi="Arial"/>
          <w:sz w:val="17"/>
          <w:szCs w:val="17"/>
          <w:color w:val="auto"/>
        </w:rPr>
      </w:pPr>
    </w:p>
    <w:p>
      <w:pPr>
        <w:ind w:left="-40" w:firstLine="987"/>
        <w:spacing w:after="0" w:line="259" w:lineRule="auto"/>
        <w:tabs>
          <w:tab w:leader="none" w:pos="11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Registrar</w:t>
      </w:r>
      <w:r>
        <w:rPr>
          <w:rFonts w:ascii="Arial" w:cs="Arial" w:eastAsia="Arial" w:hAnsi="Arial"/>
          <w:sz w:val="18"/>
          <w:szCs w:val="18"/>
          <w:color w:val="auto"/>
        </w:rPr>
        <w:t>.</w:t>
      </w:r>
    </w:p>
    <w:p>
      <w:pPr>
        <w:spacing w:after="0" w:line="117" w:lineRule="exact"/>
        <w:rPr>
          <w:sz w:val="20"/>
          <w:szCs w:val="20"/>
          <w:color w:val="auto"/>
        </w:rPr>
      </w:pPr>
    </w:p>
    <w:p>
      <w:pPr>
        <w:ind w:left="-40" w:right="60" w:firstLine="987"/>
        <w:spacing w:after="0" w:line="270" w:lineRule="auto"/>
        <w:tabs>
          <w:tab w:leader="none" w:pos="119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shall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w:t>
      </w:r>
      <w:r>
        <w:rPr>
          <w:rFonts w:ascii="Arial" w:cs="Arial" w:eastAsia="Arial" w:hAnsi="Arial"/>
          <w:sz w:val="17"/>
          <w:szCs w:val="17"/>
          <w:u w:val="single" w:color="auto"/>
          <w:color w:val="auto"/>
        </w:rPr>
        <w:t>Registrar</w:t>
      </w:r>
      <w:r>
        <w:rPr>
          <w:rFonts w:ascii="Arial" w:cs="Arial" w:eastAsia="Arial" w:hAnsi="Arial"/>
          <w:sz w:val="17"/>
          <w:szCs w:val="17"/>
          <w:color w:val="auto"/>
        </w:rPr>
        <w:t>”), a security register for the registration and the registration of transfer or of exchange of the Securities (the registers maintained in such office and in any other office or agency of the Company in a Place of Payment being herein sometimes collectively referred to as the “</w:t>
      </w:r>
      <w:r>
        <w:rPr>
          <w:rFonts w:ascii="Arial" w:cs="Arial" w:eastAsia="Arial" w:hAnsi="Arial"/>
          <w:sz w:val="17"/>
          <w:szCs w:val="17"/>
          <w:u w:val="single" w:color="auto"/>
          <w:color w:val="auto"/>
        </w:rPr>
        <w:t>Register</w:t>
      </w:r>
      <w:r>
        <w:rPr>
          <w:rFonts w:ascii="Arial" w:cs="Arial" w:eastAsia="Arial" w:hAnsi="Arial"/>
          <w:sz w:val="17"/>
          <w:szCs w:val="17"/>
          <w:color w:val="auto"/>
        </w:rPr>
        <w:t>”), as in this Indenture provided, which Register shall during normal office hours be open for inspection by the Trustee. Such Register shall be in written form or in any other form capable of being converted into written form within a reasonable time. The Company may have one or more co-Registrars; the term “</w:t>
      </w:r>
      <w:r>
        <w:rPr>
          <w:rFonts w:ascii="Arial" w:cs="Arial" w:eastAsia="Arial" w:hAnsi="Arial"/>
          <w:sz w:val="17"/>
          <w:szCs w:val="17"/>
          <w:u w:val="single" w:color="auto"/>
          <w:color w:val="auto"/>
        </w:rPr>
        <w:t>Registrar</w:t>
      </w:r>
      <w:r>
        <w:rPr>
          <w:rFonts w:ascii="Arial" w:cs="Arial" w:eastAsia="Arial" w:hAnsi="Arial"/>
          <w:sz w:val="17"/>
          <w:szCs w:val="17"/>
          <w:color w:val="auto"/>
        </w:rPr>
        <w:t>” includes any co-registrar. In acting hereunder and in connection with the Notes, the Registrar shall act solely as agents of the Company, and will not thereby assume any obligations towards or relationship of agency or trust for or with any Holder.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74" w:right="499" w:bottom="1440" w:gutter="0" w:footer="0" w:header="0"/>
        </w:sectPr>
      </w:pPr>
    </w:p>
    <w:bookmarkStart w:id="96" w:name="page97"/>
    <w:bookmarkEnd w:id="96"/>
    <w:p>
      <w:pPr>
        <w:ind w:right="60" w:firstLine="987"/>
        <w:spacing w:after="0" w:line="259"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The Company or any Affiliate thereof may act as Registrar, co-Registrar or transfer agent.</w:t>
      </w:r>
    </w:p>
    <w:p>
      <w:pPr>
        <w:spacing w:after="0" w:line="78" w:lineRule="exact"/>
        <w:rPr>
          <w:rFonts w:ascii="Arial" w:cs="Arial" w:eastAsia="Arial" w:hAnsi="Arial"/>
          <w:sz w:val="18"/>
          <w:szCs w:val="18"/>
          <w:color w:val="auto"/>
        </w:rPr>
      </w:pPr>
    </w:p>
    <w:p>
      <w:pPr>
        <w:ind w:right="140" w:firstLine="987"/>
        <w:spacing w:after="0" w:line="257"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hereby initially appoints Citibank, N.A. located at the Corporate Trust Office as Registrar in connection with the Securities and this Indenture, until such time as another Person is appointed as such in replacement of the Trustee as such. In the case that the Trustee serves as Registrar, it will be entitled as Registrar to the same rights of compensation, reimbursement and indemnification under Section 11.01 and Section 11.02 as if it were Trustee. No Person shall at any time be appointed as or act as Registrar unless such Person is at such time empowered under applicable law to act as such Registrar.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firstLine="948"/>
        <w:spacing w:after="0" w:line="301" w:lineRule="auto"/>
        <w:tabs>
          <w:tab w:leader="none" w:pos="1607" w:val="left"/>
        </w:tabs>
        <w:numPr>
          <w:ilvl w:val="1"/>
          <w:numId w:val="83"/>
        </w:numPr>
        <w:rPr>
          <w:rFonts w:ascii="Arial" w:cs="Arial" w:eastAsia="Arial" w:hAnsi="Arial"/>
          <w:sz w:val="16"/>
          <w:szCs w:val="16"/>
          <w:color w:val="auto"/>
        </w:rPr>
      </w:pPr>
      <w:r>
        <w:rPr>
          <w:rFonts w:ascii="Arial" w:cs="Arial" w:eastAsia="Arial" w:hAnsi="Arial"/>
          <w:sz w:val="16"/>
          <w:szCs w:val="16"/>
          <w:color w:val="auto"/>
        </w:rPr>
        <w:t>Upon surrender for registration of transfer of any Security of any series at the Registrar, the Company shall execute, and the Trustee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49" w:lineRule="exact"/>
        <w:rPr>
          <w:rFonts w:ascii="Arial" w:cs="Arial" w:eastAsia="Arial" w:hAnsi="Arial"/>
          <w:sz w:val="16"/>
          <w:szCs w:val="16"/>
          <w:color w:val="auto"/>
        </w:rPr>
      </w:pPr>
    </w:p>
    <w:p>
      <w:pPr>
        <w:ind w:left="440" w:right="40" w:firstLine="948"/>
        <w:spacing w:after="0" w:line="301" w:lineRule="auto"/>
        <w:tabs>
          <w:tab w:leader="none" w:pos="1657" w:val="left"/>
        </w:tabs>
        <w:numPr>
          <w:ilvl w:val="1"/>
          <w:numId w:val="83"/>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Exchange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63" w:lineRule="auto"/>
        <w:tabs>
          <w:tab w:leader="none" w:pos="160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75" w:lineRule="exact"/>
        <w:rPr>
          <w:rFonts w:ascii="Arial" w:cs="Arial" w:eastAsia="Arial" w:hAnsi="Arial"/>
          <w:sz w:val="18"/>
          <w:szCs w:val="18"/>
          <w:color w:val="auto"/>
        </w:rPr>
      </w:pPr>
    </w:p>
    <w:p>
      <w:pPr>
        <w:ind w:left="440" w:right="380" w:firstLine="948"/>
        <w:spacing w:after="0" w:line="277" w:lineRule="auto"/>
        <w:tabs>
          <w:tab w:leader="none" w:pos="1657"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Whenever any Securities are so surrendered for exchange, the Company shall execute, and the Trustee shall authenticate and deliver, the Securities that the Holder making the exchange is entitled to receive.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97" w:name="page98"/>
    <w:bookmarkEnd w:id="97"/>
    <w:p>
      <w:pPr>
        <w:ind w:right="160" w:firstLine="987"/>
        <w:spacing w:after="0" w:line="277" w:lineRule="auto"/>
        <w:tabs>
          <w:tab w:leader="none" w:pos="1236"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of Global Securities for Individual Securities</w:t>
      </w:r>
      <w:r>
        <w:rPr>
          <w:rFonts w:ascii="Arial" w:cs="Arial" w:eastAsia="Arial" w:hAnsi="Arial"/>
          <w:sz w:val="18"/>
          <w:szCs w:val="18"/>
          <w:color w:val="auto"/>
        </w:rPr>
        <w:t>. Except as provided below, owners of beneficial interests in Global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entitled to receive individual Securities.</w:t>
      </w:r>
    </w:p>
    <w:p>
      <w:pPr>
        <w:spacing w:after="0" w:line="62" w:lineRule="exact"/>
        <w:rPr>
          <w:rFonts w:ascii="Arial" w:cs="Arial" w:eastAsia="Arial" w:hAnsi="Arial"/>
          <w:sz w:val="18"/>
          <w:szCs w:val="18"/>
          <w:color w:val="auto"/>
        </w:rPr>
      </w:pPr>
    </w:p>
    <w:p>
      <w:pPr>
        <w:ind w:left="440" w:right="180" w:firstLine="948"/>
        <w:spacing w:after="0" w:line="279" w:lineRule="auto"/>
        <w:tabs>
          <w:tab w:leader="none" w:pos="1607"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Individual Securities shall be issued to all owners of beneficial interests in a Global Security in exchange for such interests if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3.03(g) and, in each case, a successor Depositary is not appointed by the Company within 90 days of such notice.</w:t>
      </w:r>
    </w:p>
    <w:p>
      <w:pPr>
        <w:spacing w:after="0" w:line="63" w:lineRule="exact"/>
        <w:rPr>
          <w:sz w:val="20"/>
          <w:szCs w:val="20"/>
          <w:color w:val="auto"/>
        </w:rPr>
      </w:pPr>
    </w:p>
    <w:p>
      <w:pPr>
        <w:ind w:left="440" w:firstLine="952"/>
        <w:spacing w:after="0" w:line="257" w:lineRule="auto"/>
        <w:rPr>
          <w:sz w:val="20"/>
          <w:szCs w:val="20"/>
          <w:color w:val="auto"/>
        </w:rPr>
      </w:pPr>
      <w:r>
        <w:rPr>
          <w:rFonts w:ascii="Arial" w:cs="Arial" w:eastAsia="Arial" w:hAnsi="Arial"/>
          <w:sz w:val="18"/>
          <w:szCs w:val="18"/>
          <w:color w:val="auto"/>
        </w:rPr>
        <w:t>In connection with the exchange of an entire Global Security for individual Securities pursuant to this subsection (c), such Global Security shall be deemed to be surrendered to the Paying Agent for cancellation, and the Company shall execute, and the Trustee, upon receipt of a Company Order for the authentication and delivery of individual Securities of such series, shall authenticate and deliver to each beneficial owner identified by the Depositary in exchange for its beneficial interest in such Global Security, an equal aggregate principal amount of individual Securities of authorized denominations.</w:t>
      </w:r>
    </w:p>
    <w:p>
      <w:pPr>
        <w:spacing w:after="0" w:line="80" w:lineRule="exact"/>
        <w:rPr>
          <w:sz w:val="20"/>
          <w:szCs w:val="20"/>
          <w:color w:val="auto"/>
        </w:rPr>
      </w:pPr>
    </w:p>
    <w:p>
      <w:pPr>
        <w:ind w:left="440" w:right="20" w:firstLine="948"/>
        <w:spacing w:after="0" w:line="257" w:lineRule="auto"/>
        <w:tabs>
          <w:tab w:leader="none" w:pos="16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owner of a beneficial interest in a Global Security shall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79" w:lineRule="exact"/>
        <w:rPr>
          <w:rFonts w:ascii="Arial" w:cs="Arial" w:eastAsia="Arial" w:hAnsi="Arial"/>
          <w:sz w:val="18"/>
          <w:szCs w:val="18"/>
          <w:color w:val="auto"/>
        </w:rPr>
      </w:pPr>
    </w:p>
    <w:p>
      <w:pPr>
        <w:ind w:left="1420" w:right="140" w:firstLine="391"/>
        <w:spacing w:after="0" w:line="277" w:lineRule="auto"/>
        <w:tabs>
          <w:tab w:leader="none" w:pos="20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Security Custodian and Registrar shall notify the Company and the Trustee of such instructions, identifying the owner and amount of such beneficial interest in such Global Security;</w:t>
      </w:r>
    </w:p>
    <w:p>
      <w:pPr>
        <w:spacing w:after="0" w:line="62" w:lineRule="exact"/>
        <w:rPr>
          <w:rFonts w:ascii="Arial" w:cs="Arial" w:eastAsia="Arial" w:hAnsi="Arial"/>
          <w:sz w:val="18"/>
          <w:szCs w:val="18"/>
          <w:color w:val="auto"/>
        </w:rPr>
      </w:pPr>
    </w:p>
    <w:p>
      <w:pPr>
        <w:ind w:left="1420" w:right="80" w:firstLine="391"/>
        <w:spacing w:after="0" w:line="263" w:lineRule="auto"/>
        <w:tabs>
          <w:tab w:leader="none" w:pos="20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75" w:lineRule="exact"/>
        <w:rPr>
          <w:rFonts w:ascii="Arial" w:cs="Arial" w:eastAsia="Arial" w:hAnsi="Arial"/>
          <w:sz w:val="18"/>
          <w:szCs w:val="18"/>
          <w:color w:val="auto"/>
        </w:rPr>
      </w:pPr>
    </w:p>
    <w:p>
      <w:pPr>
        <w:ind w:left="1420" w:firstLine="391"/>
        <w:spacing w:after="0" w:line="255" w:lineRule="auto"/>
        <w:tabs>
          <w:tab w:leader="none" w:pos="20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the right of any beneficial Holder of Securities to pursue such remedy with respect to the portion of the Global Security that represents such beneficial Holder’s Securities as if such individual Securities had been issued.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98" w:name="page99"/>
    <w:bookmarkEnd w:id="98"/>
    <w:p>
      <w:pPr>
        <w:ind w:left="440" w:right="120" w:firstLine="948"/>
        <w:spacing w:after="0" w:line="259" w:lineRule="auto"/>
        <w:tabs>
          <w:tab w:leader="none" w:pos="1707"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at the expense of the Company, without service charge,</w:t>
      </w:r>
    </w:p>
    <w:p>
      <w:pPr>
        <w:spacing w:after="0" w:line="78" w:lineRule="exact"/>
        <w:rPr>
          <w:rFonts w:ascii="Arial" w:cs="Arial" w:eastAsia="Arial" w:hAnsi="Arial"/>
          <w:sz w:val="18"/>
          <w:szCs w:val="18"/>
          <w:color w:val="auto"/>
        </w:rPr>
      </w:pPr>
    </w:p>
    <w:p>
      <w:pPr>
        <w:ind w:left="1420" w:right="200" w:firstLine="391"/>
        <w:spacing w:after="0" w:line="263" w:lineRule="auto"/>
        <w:tabs>
          <w:tab w:leader="none" w:pos="2098" w:val="left"/>
        </w:tabs>
        <w:numPr>
          <w:ilvl w:val="2"/>
          <w:numId w:val="86"/>
        </w:numPr>
        <w:rPr>
          <w:rFonts w:ascii="Arial" w:cs="Arial" w:eastAsia="Arial" w:hAnsi="Arial"/>
          <w:sz w:val="18"/>
          <w:szCs w:val="18"/>
          <w:color w:val="auto"/>
        </w:rPr>
      </w:pPr>
      <w:r>
        <w:rPr>
          <w:rFonts w:ascii="Arial" w:cs="Arial" w:eastAsia="Arial" w:hAnsi="Arial"/>
          <w:sz w:val="18"/>
          <w:szCs w:val="18"/>
          <w:color w:val="auto"/>
        </w:rPr>
        <w:t>to each Person specified by such Depositary a new individual Security or Securities of the same series, of any authorized denomination as requested by such Person in aggregate principal amount equal to and in exchange for such Person’s beneficial interest in the Global Security; and</w:t>
      </w:r>
    </w:p>
    <w:p>
      <w:pPr>
        <w:spacing w:after="0" w:line="75" w:lineRule="exact"/>
        <w:rPr>
          <w:rFonts w:ascii="Arial" w:cs="Arial" w:eastAsia="Arial" w:hAnsi="Arial"/>
          <w:sz w:val="18"/>
          <w:szCs w:val="18"/>
          <w:color w:val="auto"/>
        </w:rPr>
      </w:pPr>
    </w:p>
    <w:p>
      <w:pPr>
        <w:ind w:left="1420" w:firstLine="391"/>
        <w:spacing w:after="0" w:line="342" w:lineRule="auto"/>
        <w:tabs>
          <w:tab w:leader="none" w:pos="2088" w:val="left"/>
        </w:tabs>
        <w:numPr>
          <w:ilvl w:val="2"/>
          <w:numId w:val="86"/>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5" w:lineRule="exact"/>
        <w:rPr>
          <w:rFonts w:ascii="Arial" w:cs="Arial" w:eastAsia="Arial" w:hAnsi="Arial"/>
          <w:sz w:val="16"/>
          <w:szCs w:val="16"/>
          <w:color w:val="auto"/>
        </w:rPr>
      </w:pPr>
    </w:p>
    <w:p>
      <w:pPr>
        <w:ind w:left="440" w:right="520" w:firstLine="948"/>
        <w:spacing w:after="0" w:line="277" w:lineRule="auto"/>
        <w:tabs>
          <w:tab w:leader="none" w:pos="1697"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any exchange provided for in clauses (i) through (iii), the Company shall execute and the Trustee shall authenticate and deliver individual Securities in registered form in authorized denominations.</w:t>
      </w:r>
    </w:p>
    <w:p>
      <w:pPr>
        <w:spacing w:after="0" w:line="62" w:lineRule="exact"/>
        <w:rPr>
          <w:rFonts w:ascii="Arial" w:cs="Arial" w:eastAsia="Arial" w:hAnsi="Arial"/>
          <w:sz w:val="18"/>
          <w:szCs w:val="18"/>
          <w:color w:val="auto"/>
        </w:rPr>
      </w:pPr>
    </w:p>
    <w:p>
      <w:pPr>
        <w:ind w:left="440" w:right="100" w:firstLine="948"/>
        <w:spacing w:after="0" w:line="301" w:lineRule="auto"/>
        <w:tabs>
          <w:tab w:leader="none" w:pos="1647" w:val="left"/>
        </w:tabs>
        <w:numPr>
          <w:ilvl w:val="1"/>
          <w:numId w:val="86"/>
        </w:numPr>
        <w:rPr>
          <w:rFonts w:ascii="Arial" w:cs="Arial" w:eastAsia="Arial" w:hAnsi="Arial"/>
          <w:sz w:val="16"/>
          <w:szCs w:val="16"/>
          <w:color w:val="auto"/>
        </w:rPr>
      </w:pPr>
      <w:r>
        <w:rPr>
          <w:rFonts w:ascii="Arial" w:cs="Arial" w:eastAsia="Arial" w:hAnsi="Arial"/>
          <w:sz w:val="16"/>
          <w:szCs w:val="16"/>
          <w:color w:val="auto"/>
        </w:rPr>
        <w:t>Upon the exchange in full of a Global Security for individual Securities, such Global Security shall be cancelled by the Paying Agent.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Registrar. The Registrar shall deliver such Securities to the Persons in whose names such Securities are so registered.</w:t>
      </w:r>
    </w:p>
    <w:p>
      <w:pPr>
        <w:spacing w:after="0" w:line="49" w:lineRule="exact"/>
        <w:rPr>
          <w:rFonts w:ascii="Arial" w:cs="Arial" w:eastAsia="Arial" w:hAnsi="Arial"/>
          <w:sz w:val="16"/>
          <w:szCs w:val="16"/>
          <w:color w:val="auto"/>
        </w:rPr>
      </w:pPr>
    </w:p>
    <w:p>
      <w:pPr>
        <w:ind w:right="160" w:firstLine="987"/>
        <w:spacing w:after="0" w:line="342" w:lineRule="auto"/>
        <w:tabs>
          <w:tab w:leader="none" w:pos="12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5" w:lineRule="exact"/>
        <w:rPr>
          <w:rFonts w:ascii="Arial" w:cs="Arial" w:eastAsia="Arial" w:hAnsi="Arial"/>
          <w:sz w:val="16"/>
          <w:szCs w:val="16"/>
          <w:color w:val="auto"/>
        </w:rPr>
      </w:pPr>
    </w:p>
    <w:p>
      <w:pPr>
        <w:ind w:firstLine="987"/>
        <w:spacing w:after="0" w:line="311" w:lineRule="auto"/>
        <w:tabs>
          <w:tab w:leader="none" w:pos="1236" w:val="left"/>
        </w:tabs>
        <w:numPr>
          <w:ilvl w:val="0"/>
          <w:numId w:val="87"/>
        </w:numPr>
        <w:rPr>
          <w:rFonts w:ascii="Arial" w:cs="Arial" w:eastAsia="Arial" w:hAnsi="Arial"/>
          <w:sz w:val="16"/>
          <w:szCs w:val="16"/>
          <w:color w:val="auto"/>
        </w:rPr>
      </w:pPr>
      <w:r>
        <w:rPr>
          <w:rFonts w:ascii="Arial" w:cs="Arial" w:eastAsia="Arial" w:hAnsi="Arial"/>
          <w:sz w:val="16"/>
          <w:szCs w:val="16"/>
          <w:color w:val="auto"/>
        </w:rPr>
        <w:t>Every Security presented or surrendered for registration of transfer or exchange, or for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99" w:name="page100"/>
    <w:bookmarkEnd w:id="99"/>
    <w:p>
      <w:pPr>
        <w:jc w:val="both"/>
        <w:ind w:right="20" w:firstLine="987"/>
        <w:spacing w:after="0" w:line="311" w:lineRule="auto"/>
        <w:tabs>
          <w:tab w:leader="none" w:pos="1216"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service charge shall be made for any registration of transfer or exchange of Securities. The Company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40" w:lineRule="exact"/>
        <w:rPr>
          <w:rFonts w:ascii="Arial" w:cs="Arial" w:eastAsia="Arial" w:hAnsi="Arial"/>
          <w:sz w:val="16"/>
          <w:szCs w:val="16"/>
          <w:color w:val="auto"/>
        </w:rPr>
      </w:pPr>
    </w:p>
    <w:p>
      <w:pPr>
        <w:ind w:firstLine="987"/>
        <w:spacing w:after="0" w:line="279" w:lineRule="auto"/>
        <w:tabs>
          <w:tab w:leader="none" w:pos="124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shall not be required to (i) register, transfer or exchange Securities of any series during a period beginning at the opening of business 15 calendar days before the day of the transmission of a notice of redemption of Securities of such series selected for redemption under Section 4.03 and ending at the close of business on the day of such transmission, or (ii) register, transfer or exchange any Security so selected for redemption in whole or in part, except the unredeemed portion of any Security being redeemed in part.</w:t>
      </w:r>
    </w:p>
    <w:p>
      <w:pPr>
        <w:spacing w:after="0" w:line="63" w:lineRule="exact"/>
        <w:rPr>
          <w:rFonts w:ascii="Arial" w:cs="Arial" w:eastAsia="Arial" w:hAnsi="Arial"/>
          <w:sz w:val="17"/>
          <w:szCs w:val="17"/>
          <w:color w:val="auto"/>
        </w:rPr>
      </w:pPr>
    </w:p>
    <w:p>
      <w:pPr>
        <w:ind w:right="180" w:firstLine="987"/>
        <w:spacing w:after="0" w:line="257" w:lineRule="auto"/>
        <w:tabs>
          <w:tab w:leader="none" w:pos="12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79" w:lineRule="exact"/>
        <w:rPr>
          <w:rFonts w:ascii="Arial" w:cs="Arial" w:eastAsia="Arial" w:hAnsi="Arial"/>
          <w:sz w:val="18"/>
          <w:szCs w:val="18"/>
          <w:color w:val="auto"/>
        </w:rPr>
      </w:pPr>
    </w:p>
    <w:p>
      <w:pPr>
        <w:ind w:right="60" w:firstLine="987"/>
        <w:spacing w:after="0" w:line="290" w:lineRule="auto"/>
        <w:tabs>
          <w:tab w:leader="none" w:pos="120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case a successor Company (“</w:t>
      </w:r>
      <w:r>
        <w:rPr>
          <w:rFonts w:ascii="Arial" w:cs="Arial" w:eastAsia="Arial" w:hAnsi="Arial"/>
          <w:sz w:val="16"/>
          <w:szCs w:val="16"/>
          <w:u w:val="single" w:color="auto"/>
          <w:color w:val="auto"/>
        </w:rPr>
        <w:t>Successor Company</w:t>
      </w:r>
      <w:r>
        <w:rPr>
          <w:rFonts w:ascii="Arial" w:cs="Arial" w:eastAsia="Arial" w:hAnsi="Arial"/>
          <w:sz w:val="16"/>
          <w:szCs w:val="16"/>
          <w:color w:val="auto"/>
        </w:rPr>
        <w:t>”) has executed an indenture supplemental hereto with the Trustee pursuant to Article XIV,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Company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57" w:lineRule="exact"/>
        <w:rPr>
          <w:rFonts w:ascii="Arial" w:cs="Arial" w:eastAsia="Arial" w:hAnsi="Arial"/>
          <w:sz w:val="16"/>
          <w:szCs w:val="16"/>
          <w:color w:val="auto"/>
        </w:rPr>
      </w:pPr>
    </w:p>
    <w:p>
      <w:pPr>
        <w:ind w:right="420" w:firstLine="987"/>
        <w:spacing w:after="0" w:line="263" w:lineRule="auto"/>
        <w:tabs>
          <w:tab w:leader="none" w:pos="120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laws.</w:t>
      </w:r>
    </w:p>
    <w:p>
      <w:pPr>
        <w:spacing w:after="0" w:line="75" w:lineRule="exact"/>
        <w:rPr>
          <w:rFonts w:ascii="Arial" w:cs="Arial" w:eastAsia="Arial" w:hAnsi="Arial"/>
          <w:sz w:val="18"/>
          <w:szCs w:val="18"/>
          <w:color w:val="auto"/>
        </w:rPr>
      </w:pPr>
    </w:p>
    <w:p>
      <w:pPr>
        <w:ind w:right="20" w:firstLine="987"/>
        <w:spacing w:after="0" w:line="270" w:lineRule="auto"/>
        <w:tabs>
          <w:tab w:leader="none" w:pos="124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Trustee shall have no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00" w:name="page101"/>
    <w:bookmarkEnd w:id="100"/>
    <w:p>
      <w:pPr>
        <w:jc w:val="both"/>
        <w:ind w:left="-20" w:firstLine="987"/>
        <w:spacing w:after="0" w:line="279" w:lineRule="auto"/>
        <w:tabs>
          <w:tab w:leader="none" w:pos="1186"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63" w:lineRule="exact"/>
        <w:rPr>
          <w:rFonts w:ascii="Arial" w:cs="Arial" w:eastAsia="Arial" w:hAnsi="Arial"/>
          <w:sz w:val="17"/>
          <w:szCs w:val="17"/>
          <w:color w:val="auto"/>
        </w:rPr>
      </w:pPr>
    </w:p>
    <w:p>
      <w:pPr>
        <w:ind w:left="1280" w:hanging="313"/>
        <w:spacing w:after="0"/>
        <w:tabs>
          <w:tab w:leader="none" w:pos="12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Neither the Trustee nor any agent of the Trustee shall have any responsibility for any actions taken or not taken by the Depositary.</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54" w:lineRule="auto"/>
        <w:tabs>
          <w:tab w:leader="none" w:pos="1216"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and/or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and neither gain nor loss in interest shall result from such exchange or substitution.</w:t>
      </w:r>
    </w:p>
    <w:p>
      <w:pPr>
        <w:spacing w:after="0" w:line="86" w:lineRule="exact"/>
        <w:rPr>
          <w:rFonts w:ascii="Arial" w:cs="Arial" w:eastAsia="Arial" w:hAnsi="Arial"/>
          <w:sz w:val="18"/>
          <w:szCs w:val="18"/>
          <w:color w:val="auto"/>
        </w:rPr>
      </w:pPr>
    </w:p>
    <w:p>
      <w:pPr>
        <w:ind w:left="-20" w:right="220" w:firstLine="987"/>
        <w:spacing w:after="0" w:line="277" w:lineRule="auto"/>
        <w:tabs>
          <w:tab w:leader="none" w:pos="1226"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62" w:lineRule="exact"/>
        <w:rPr>
          <w:rFonts w:ascii="Arial" w:cs="Arial" w:eastAsia="Arial" w:hAnsi="Arial"/>
          <w:sz w:val="18"/>
          <w:szCs w:val="18"/>
          <w:color w:val="auto"/>
        </w:rPr>
      </w:pPr>
    </w:p>
    <w:p>
      <w:pPr>
        <w:ind w:left="-20" w:right="20" w:firstLine="987"/>
        <w:spacing w:after="0" w:line="263" w:lineRule="auto"/>
        <w:tabs>
          <w:tab w:leader="none" w:pos="1216"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the issuance of any new Security under this Section 3.07, the Company may require the payment of a sum sufficient to cover any tax or other governmental charge that may be imposed in respect thereto and any other expenses (including the fees and expenses of the Trustee) in connection therewith.</w:t>
      </w:r>
    </w:p>
    <w:p>
      <w:pPr>
        <w:spacing w:after="0" w:line="75" w:lineRule="exact"/>
        <w:rPr>
          <w:rFonts w:ascii="Arial" w:cs="Arial" w:eastAsia="Arial" w:hAnsi="Arial"/>
          <w:sz w:val="18"/>
          <w:szCs w:val="18"/>
          <w:color w:val="auto"/>
        </w:rPr>
      </w:pPr>
    </w:p>
    <w:p>
      <w:pPr>
        <w:ind w:left="-20" w:right="40" w:firstLine="987"/>
        <w:spacing w:after="0" w:line="286" w:lineRule="auto"/>
        <w:tabs>
          <w:tab w:leader="none" w:pos="1226"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4" w:right="479" w:bottom="1440" w:gutter="0" w:footer="0" w:header="0"/>
        </w:sectPr>
      </w:pPr>
    </w:p>
    <w:bookmarkStart w:id="101" w:name="page102"/>
    <w:bookmarkEnd w:id="101"/>
    <w:p>
      <w:pPr>
        <w:ind w:right="140" w:firstLine="987"/>
        <w:spacing w:after="0" w:line="277"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this Section 3.07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Interest on any Security which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84" w:lineRule="exact"/>
        <w:rPr>
          <w:rFonts w:ascii="Arial" w:cs="Arial" w:eastAsia="Arial" w:hAnsi="Arial"/>
          <w:sz w:val="18"/>
          <w:szCs w:val="18"/>
          <w:color w:val="auto"/>
        </w:rPr>
      </w:pPr>
    </w:p>
    <w:p>
      <w:pPr>
        <w:ind w:right="140" w:firstLine="987"/>
        <w:spacing w:after="0" w:line="311" w:lineRule="auto"/>
        <w:tabs>
          <w:tab w:leader="none" w:pos="1246"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interest on any Security that is payable, but is not punctually paid or duly provided for, on any Interest Payment Date (herein called “</w:t>
      </w:r>
      <w:r>
        <w:rPr>
          <w:rFonts w:ascii="Arial" w:cs="Arial" w:eastAsia="Arial" w:hAnsi="Arial"/>
          <w:sz w:val="16"/>
          <w:szCs w:val="16"/>
          <w:u w:val="single" w:color="auto"/>
          <w:color w:val="auto"/>
        </w:rPr>
        <w:t>Defaulted Interest</w:t>
      </w:r>
      <w:r>
        <w:rPr>
          <w:rFonts w:ascii="Arial" w:cs="Arial" w:eastAsia="Arial" w:hAnsi="Arial"/>
          <w:sz w:val="16"/>
          <w:szCs w:val="16"/>
          <w:color w:val="auto"/>
        </w:rPr>
        <w: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40" w:lineRule="exact"/>
        <w:rPr>
          <w:rFonts w:ascii="Arial" w:cs="Arial" w:eastAsia="Arial" w:hAnsi="Arial"/>
          <w:sz w:val="16"/>
          <w:szCs w:val="16"/>
          <w:color w:val="auto"/>
        </w:rPr>
      </w:pPr>
    </w:p>
    <w:p>
      <w:pPr>
        <w:ind w:left="440" w:firstLine="948"/>
        <w:spacing w:after="0" w:line="286" w:lineRule="auto"/>
        <w:tabs>
          <w:tab w:leader="none" w:pos="1607"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w:t>
      </w:r>
      <w:r>
        <w:rPr>
          <w:rFonts w:ascii="Arial" w:cs="Arial" w:eastAsia="Arial" w:hAnsi="Arial"/>
          <w:sz w:val="16"/>
          <w:szCs w:val="16"/>
          <w:u w:val="single" w:color="auto"/>
          <w:color w:val="auto"/>
        </w:rPr>
        <w:t>Special Record Date</w:t>
      </w:r>
      <w:r>
        <w:rPr>
          <w:rFonts w:ascii="Arial" w:cs="Arial" w:eastAsia="Arial" w:hAnsi="Arial"/>
          <w:sz w:val="16"/>
          <w:szCs w:val="16"/>
          <w:color w:val="auto"/>
        </w:rPr>
        <w: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02" w:name="page103"/>
    <w:bookmarkEnd w:id="102"/>
    <w:p>
      <w:pPr>
        <w:ind w:left="440" w:right="100" w:firstLine="948"/>
        <w:spacing w:after="0" w:line="301" w:lineRule="auto"/>
        <w:tabs>
          <w:tab w:leader="none" w:pos="1657" w:val="left"/>
        </w:tabs>
        <w:numPr>
          <w:ilvl w:val="1"/>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make payment of any Defaulted Interest on Securities in any other lawful manner not inconsistent with the requirements of any securities exchange on which such Securities may be listed or of any automated quotation system on which any such Securities may be quoted, and upon such notice as may be required by such exchange or quotation system, as applicable, if, after notice given by the Company to the Trustee of the proposed payment pursuant to this clause, such manner of payment shall be deemed practicable by the Trustee.</w:t>
      </w:r>
    </w:p>
    <w:p>
      <w:pPr>
        <w:spacing w:after="0" w:line="49" w:lineRule="exact"/>
        <w:rPr>
          <w:rFonts w:ascii="Arial" w:cs="Arial" w:eastAsia="Arial" w:hAnsi="Arial"/>
          <w:sz w:val="16"/>
          <w:szCs w:val="16"/>
          <w:color w:val="auto"/>
        </w:rPr>
      </w:pPr>
    </w:p>
    <w:p>
      <w:pPr>
        <w:ind w:right="80" w:firstLine="987"/>
        <w:spacing w:after="0" w:line="263"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the foregoing provisions in this Section 3.08, each Security delivered under this Indenture in exchange or substitution for, or upon registration of transfer of, any other Security shall carry all the rights to interest accrued and unpaid, and to accrue, which were carried by such other Security.</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Paying Agent, be delivered to the Paying Agent for cancellation and shall be promptly cancelled by it and, if surrendered to the Paying Agent, shall be promptly cancelled by it. The Company may at any time deliver to the Paying Agent for cancellation any Securities previously authenticated and delivered hereunder that the Company may have acquired in any manner whatsoever, and all Securities so delivered shall be promptly cancelled by the Paying Agent. No Securities shall be authenticated in lieu of or in exchange for any Securities cancelled as provided in this Section, except as expressly permitted by this Indenture. The Paying Agent shall dispose of all cancelled Securities held by it in accordance with its then customary procedures, unless otherwise directed by a Company Order,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Paying Agent for cancellation.</w:t>
      </w:r>
    </w:p>
    <w:p>
      <w:pPr>
        <w:spacing w:after="0" w:line="18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pursuant to Section 3.01 for Securities of any series, interest on the Securities of each series shall be computed on the basis of a 360-day year of twelve 30-day months.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Currency of Payments in Respect of Securities</w:t>
      </w:r>
      <w:r>
        <w:rPr>
          <w:rFonts w:ascii="Arial" w:cs="Arial" w:eastAsia="Arial" w:hAnsi="Arial"/>
          <w:sz w:val="18"/>
          <w:szCs w:val="18"/>
          <w:color w:val="auto"/>
        </w:rPr>
        <w:t>. Any series, payment of the principal of, premium, if any, and interest on, Securities of such series shall be made in U.S. Dollars.</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Company in issuing any Securities may use CUSIP, ISIN or other similar numbers, if then generally in use, and thereafter with respect to such series, the Trustee may use such numbers in any notice of redemption or exchange, as a convenience to Holders, with respect to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of any change in the CUSIP, ISIN or other similar numbers.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REDEMPTION OF SECURITIES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Applicability of Right of Redemption</w:t>
      </w:r>
      <w:r>
        <w:rPr>
          <w:rFonts w:ascii="Arial" w:cs="Arial" w:eastAsia="Arial" w:hAnsi="Arial"/>
          <w:sz w:val="18"/>
          <w:szCs w:val="18"/>
          <w:color w:val="auto"/>
        </w:rPr>
        <w:t xml:space="preserve">.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terms of a series of Securities shall conflict with any provision of this Article, the terms of such series shall govern.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9" w:lineRule="auto"/>
        <w:tabs>
          <w:tab w:leader="none" w:pos="1236"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If the Company shall at any time elect to redeem all or any portion of the Securities of a series then Outstanding, it shall at least 15 calendar days (or such shorter period acceptable to the Trustee) prior to the date the notice of redemption is to be mailed, notify the Trustee of such Redemption Date and of the principal amount of Securities to be redeemed. If less than all of the Securities of a series are to be redeemed, the Securities for redemption will be selected as follows: (i) if the Securities are listed on a securities exchange then in compliance with the rules of such securities exchange and if the Securities are held through the clearing systems then in compliance with the rules and procedures of the clearing systems, or (ii) if the Securities are not listed on a securities exchange or held through the clearing systems, then by lot or such other method as the trustee shall deem to be fair and appropriate in its sole and absolute discretion or as otherwise required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73" w:lineRule="exact"/>
        <w:rPr>
          <w:rFonts w:ascii="Arial" w:cs="Arial" w:eastAsia="Arial" w:hAnsi="Arial"/>
          <w:sz w:val="17"/>
          <w:szCs w:val="17"/>
          <w:color w:val="auto"/>
        </w:rPr>
      </w:pPr>
    </w:p>
    <w:p>
      <w:pPr>
        <w:ind w:right="100" w:firstLine="987"/>
        <w:spacing w:after="0" w:line="259" w:lineRule="auto"/>
        <w:tabs>
          <w:tab w:leader="none" w:pos="12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Notice of redemption shall be given by the Company or, at the Company’s request, by the Trustee in the name and at the expense of the Company, not less than 30 nor more than 60 calendar days prior to the Redemption Date, to the Holders of Securities of any series to be redeemed in whole or in part pursuant to this Article, in the manner provided in Section 16.04;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Trustee be provided with the draft notice at least 15 days prior to sending such notice of redemption. Any notice given in the manner herein provided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104" w:name="page105"/>
    <w:bookmarkEnd w:id="104"/>
    <w:p>
      <w:pPr>
        <w:ind w:left="1240" w:hanging="253"/>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notices of redemption shall identify the Securities to be redeemed (including CUSIP, ISIN or other similar numbers, if available)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shall state:</w:t>
      </w:r>
    </w:p>
    <w:p>
      <w:pPr>
        <w:spacing w:after="0" w:line="102" w:lineRule="exact"/>
        <w:rPr>
          <w:rFonts w:ascii="Arial" w:cs="Arial" w:eastAsia="Arial" w:hAnsi="Arial"/>
          <w:sz w:val="16"/>
          <w:szCs w:val="16"/>
          <w:color w:val="auto"/>
        </w:rPr>
      </w:pPr>
    </w:p>
    <w:p>
      <w:pPr>
        <w:ind w:left="440" w:right="80" w:firstLine="948"/>
        <w:spacing w:after="0" w:line="342" w:lineRule="auto"/>
        <w:tabs>
          <w:tab w:leader="none" w:pos="1607" w:val="left"/>
        </w:tabs>
        <w:numPr>
          <w:ilvl w:val="1"/>
          <w:numId w:val="97"/>
        </w:numPr>
        <w:rPr>
          <w:rFonts w:ascii="Arial" w:cs="Arial" w:eastAsia="Arial" w:hAnsi="Arial"/>
          <w:sz w:val="16"/>
          <w:szCs w:val="16"/>
          <w:color w:val="auto"/>
        </w:rPr>
      </w:pPr>
      <w:r>
        <w:rPr>
          <w:rFonts w:ascii="Arial" w:cs="Arial" w:eastAsia="Arial" w:hAnsi="Arial"/>
          <w:sz w:val="16"/>
          <w:szCs w:val="16"/>
          <w:color w:val="auto"/>
        </w:rPr>
        <w:t>such election by the Company to redeem Securities of such series pursuant to provisions contained in this Indenture or the terms of the Securities of such series in a Company Order, Officers’ Certificate or a supplemental indenture establishing such series, if such be the case;</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40" w:right="120" w:firstLine="948"/>
        <w:spacing w:after="0" w:line="277" w:lineRule="auto"/>
        <w:tabs>
          <w:tab w:leader="none" w:pos="169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62" w:lineRule="exact"/>
        <w:rPr>
          <w:rFonts w:ascii="Arial" w:cs="Arial" w:eastAsia="Arial" w:hAnsi="Arial"/>
          <w:sz w:val="18"/>
          <w:szCs w:val="18"/>
          <w:color w:val="auto"/>
        </w:rPr>
      </w:pPr>
    </w:p>
    <w:p>
      <w:pPr>
        <w:ind w:left="440" w:right="180" w:firstLine="948"/>
        <w:spacing w:after="0" w:line="277" w:lineRule="auto"/>
        <w:tabs>
          <w:tab w:leader="none" w:pos="16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that on the Redemption Date the Redemption Price shall become due and payable upon each such Security to be redeemed, and that, if applicable, interest thereon shall cease to accrue on and after said date;</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Place or Places of Payment where such Securities are to be surrendered for payment of the Redemption Price; and</w:t>
      </w:r>
    </w:p>
    <w:p>
      <w:pPr>
        <w:spacing w:after="0" w:line="128" w:lineRule="exact"/>
        <w:rPr>
          <w:rFonts w:ascii="Arial" w:cs="Arial" w:eastAsia="Arial" w:hAnsi="Arial"/>
          <w:sz w:val="17"/>
          <w:szCs w:val="17"/>
          <w:color w:val="auto"/>
        </w:rPr>
      </w:pPr>
    </w:p>
    <w:p>
      <w:pPr>
        <w:ind w:left="1740" w:hanging="352"/>
        <w:spacing w:after="0"/>
        <w:tabs>
          <w:tab w:leader="none" w:pos="17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applicable, that the redemption is for a sinking fund, if such is the case.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11:00 a.m., New York City time, one Business Day prior to the Redemption Date for any Securities, the Company shall deposit with the Paying Agent (or, if the Company is acting as its own Paying Agent, segregate and hold in trust as provided in Section 6.03) an amount of money in the currency in which such Securities are denominated sufficient to pay the Redemption Price of such Securities or any portions thereof that are to be redeemed on that date.</w:t>
      </w:r>
    </w:p>
    <w:p>
      <w:pPr>
        <w:spacing w:after="0" w:line="18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 xml:space="preserve">. If notice of redemption has been given as above provided, any Securities so to be redeemed shall, on the Redemption Date, become due and payable at the Redemption Price and from and after such date (unless the Company shall Default in the payment of the Redemption Price) such Securities shall cease to bear interest, and, except as provided in Section 12.07, such Securities shall cease from and after the Redemption Date to be entitled to any benefit or security under the Indenture, and the Holders thereof shall have no right in respect of such Securities except the right to receive the Redemption Price thereof and unpaid interest to the Redemption Date. Upon surrender of any such Security for redemption in accordance with said notice, such Security shall be paid by the Paying Agent with the moneys deposited in accordance with Section 4.04 above at the Redemption Price (unless the Company shall Default in the payment of the Redemption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05" w:name="page106"/>
    <w:bookmarkEnd w:id="105"/>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Security called for redemption shall not be so paid upon surrender thereof for redemption, the principal thereof shall, until paid or duly provided for, bear interest from the Redemption Date at the rate prescribed therefor in the Security.</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xml:space="preserve">. Any Security that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Registrar, in lieu of delivering a new Security or Securities as aforesaid, may make a notation on such Security of the payment of the redeemed portion thereof.</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Tax Redemption</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88" w:lineRule="auto"/>
        <w:tabs>
          <w:tab w:leader="none" w:pos="1236"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series of Securities may be redeemed at any time, at the option of the Company, in whole but not in part, upon written notice as described below, at a redemption price equal to 100% of the principal amount thereof, together with accrued and unpaid interest, if any, to, but not including, the Redemption Date, if (i) as a result of any change in, or amendment to, the laws or regulations of the Relevant Jurisdiction (or, in the case of Additional Amounts payable by a successor Person to the Company, the applicable Successor Jurisdiction), or any change in the official application or official interpretation of such laws or regulations, which change or amendment becomes effective on or after the Issue Date (or, in the case of Additional Amounts payable by a successor Person to the Company, the date on which such successor Person to the Company became such pursuant to the applicable provisions of this Indenture) (a “</w:t>
      </w:r>
      <w:r>
        <w:rPr>
          <w:rFonts w:ascii="Arial" w:cs="Arial" w:eastAsia="Arial" w:hAnsi="Arial"/>
          <w:sz w:val="16"/>
          <w:szCs w:val="16"/>
          <w:u w:val="single" w:color="auto"/>
          <w:color w:val="auto"/>
        </w:rPr>
        <w:t>Tax Change</w:t>
      </w:r>
      <w:r>
        <w:rPr>
          <w:rFonts w:ascii="Arial" w:cs="Arial" w:eastAsia="Arial" w:hAnsi="Arial"/>
          <w:sz w:val="16"/>
          <w:szCs w:val="16"/>
          <w:color w:val="auto"/>
        </w:rPr>
        <w:t>”), the Company or any such successor Person to the Company is, or would be, obligated to pay Additional Amounts upon the next payment of principal, premium, if any, or interest in respect of such Securities and (ii) such obligation cannot be avoided by the Company or any such successor Person to the Company taking reasonable measures available to it, provided that changing the jurisdiction of the Company or such successor Person to Company is not a reasonable measure for purposes of this Section 4.07(a).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06" w:name="page107"/>
    <w:bookmarkEnd w:id="106"/>
    <w:p>
      <w:pPr>
        <w:ind w:firstLine="987"/>
        <w:spacing w:after="0" w:line="271" w:lineRule="auto"/>
        <w:tabs>
          <w:tab w:leader="none" w:pos="1246" w:val="left"/>
        </w:tabs>
        <w:numPr>
          <w:ilvl w:val="0"/>
          <w:numId w:val="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the giving of any notice of redemption of the Securities pursuant to Section 4.07(a), the Company or any such successor Person to the Company shall deliver to the Trustee (i) a notice of such redemption election, (ii) an opinion of External Legal Counsel or an opinion of an Independent Tax Consultant to the effect that the Company or any such successor Person to the Company is, or would become, obligated to pay such Additional Amounts as the result of a Tax Change and (iii) an Officers’ Certificate from the Company or any such successor Person to the Company, stating that such amendment or change has occurred, describing the facts leading thereto and stating that such requirement cannot be avoided by the Company or any such successor Person to the Company taking reasonable measures available to it. The Trustee shall be entitled to rely conclusively upon such Officers’ Certificate and opinion as sufficient evidence of the conditions precedent described in Section 4.07(a), in which event it shall be conclusive and binding on the relevant Holders.</w:t>
      </w:r>
    </w:p>
    <w:p>
      <w:pPr>
        <w:spacing w:after="0" w:line="70" w:lineRule="exact"/>
        <w:rPr>
          <w:rFonts w:ascii="Arial" w:cs="Arial" w:eastAsia="Arial" w:hAnsi="Arial"/>
          <w:sz w:val="17"/>
          <w:szCs w:val="17"/>
          <w:color w:val="auto"/>
        </w:rPr>
      </w:pPr>
    </w:p>
    <w:p>
      <w:pPr>
        <w:ind w:right="40" w:firstLine="987"/>
        <w:spacing w:after="0" w:line="259" w:lineRule="auto"/>
        <w:tabs>
          <w:tab w:leader="none" w:pos="12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redemption of Securities pursuant to Section 4.07 shall be made (except as otherwise specified pursuant to Section 3.01 for Securities of any series) in accordance with this Article;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notice of redemption shall be given earlier than 90 days prior to the earliest date on which the Company or any such successor Person to the Company would be required to pay Additional Amounts if a payment in respect of such Securities was then due.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SINKING FUNDS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Applicability of Sinking Fund</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9" w:lineRule="auto"/>
        <w:tabs>
          <w:tab w:leader="none" w:pos="12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terms of a series of Securities shall conflict with any provision of this Article, the terms of such series shall govern.</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minimum amount of any sinking fund payment provided for by the terms of Securities of any series is herein referred to as a</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and any payment in excess of such minimum amount provided for by the terms of Securities of any series is herein referred to as an “</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If provided for by the terms of Securities of any series, the cash amount of any Mandatory Sinking Fund Payment may be subject to reduction as provided in Section 5.02.</w:t>
      </w:r>
    </w:p>
    <w:p>
      <w:pPr>
        <w:spacing w:after="0" w:line="19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Mandatory Sinking Fund Obligation</w:t>
      </w:r>
      <w:r>
        <w:rPr>
          <w:rFonts w:ascii="Arial" w:cs="Arial" w:eastAsia="Arial" w:hAnsi="Arial"/>
          <w:sz w:val="17"/>
          <w:szCs w:val="17"/>
          <w:color w:val="auto"/>
        </w:rPr>
        <w:t>. The Company may, at its option, satisfy any Mandatory Sinking Fund Payment obligation, in whole or in part, with respect to a particular series of Securities by (a) delivering to the Paying Agent Securities of such series in transferable form theretofore purchased or otherwise acquired by the Company or redeemed at the election of the Company pursuant to Section 4.03 or (b) receiving credit for Securities of such series (not previously so credited) acquired by the Company and theretofore delivered to the Paying Agent. The Paying Agent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and the Paying Agent not less than 45 calendar days prior to the relevant sinking fund payment date a written notice signed on behalf of the Company by an Officer,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07" w:name="page108"/>
    <w:bookmarkEnd w:id="107"/>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5.03 </w:t>
      </w:r>
      <w:r>
        <w:rPr>
          <w:rFonts w:ascii="Arial" w:cs="Arial" w:eastAsia="Arial" w:hAnsi="Arial"/>
          <w:sz w:val="17"/>
          <w:szCs w:val="17"/>
          <w:u w:val="single" w:color="auto"/>
          <w:color w:val="auto"/>
        </w:rPr>
        <w:t>Optional Redemption at Sinking Fund Redemption Price</w:t>
      </w:r>
      <w:r>
        <w:rPr>
          <w:rFonts w:ascii="Arial" w:cs="Arial" w:eastAsia="Arial" w:hAnsi="Arial"/>
          <w:sz w:val="17"/>
          <w:szCs w:val="17"/>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is not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and the Paying Agent not less than 45 calendar days prior to the relevant sinking fund payment date a certificate signed by an Officer, stating that the Company shall exercise such optional right, and specifying the amount which the Company shall pay on or before the next succeeding sinking fund payment date. Such certificate shall also state that no Event of Default has occurred and is continuing.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Application of Sinking Fund Payment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If the sinking fund payment or payments made in funds pursuant to either Section 5.02 or 5.03 with respect to a particular series of Securities plus any unused balance of any preceding sinking fund payments made in funds with respect to such series shall exceed US$50,000 (or a lesser sum if the Company shall so request, or such equivalent sum for Securities denominated other than in U.S. Dollars), it shall be applied by the Paying Agent on the sinking fund payment date next following the date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date of such payment shall be a sinking fund payment date, such payment shall be applied on such sinking fund payment date to the redemption of Securities of such series at the Redemption Price specified pursuant to Section 4.03(b). The Securities of such series shall be selected,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prepared by the Company,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Paying Agent to the redemption of Securities of such series shall be added to the next sinking fund payment received in funds by the Paying Agent and, together with such payment, shall be applied in accordance with the provisions of this Section 5.04. Any and all sinking fund moneys held by the Paying Agent on the last sinking fund payment date with respect to Securities of such series, and not held for the payment or redemption of particular Securities of such series, shall be applied by the Paying Agent to the payment of the principal of the Securities of such series at Maturity.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08" w:name="page109"/>
    <w:bookmarkEnd w:id="108"/>
    <w:p>
      <w:pPr>
        <w:ind w:right="200" w:firstLine="987"/>
        <w:spacing w:after="0" w:line="308" w:lineRule="auto"/>
        <w:tabs>
          <w:tab w:leader="none" w:pos="1246"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prior to each sinking fund payment date, the Company shall pay to the Paying Agent a sum equal to all interest accrued to, but not including, the Redemption Date on Securities to be redeemed on such sinking fund payment date pursuant to this Section 5.04.</w:t>
      </w:r>
    </w:p>
    <w:p>
      <w:pPr>
        <w:spacing w:after="0" w:line="38" w:lineRule="exact"/>
        <w:rPr>
          <w:rFonts w:ascii="Arial" w:cs="Arial" w:eastAsia="Arial" w:hAnsi="Arial"/>
          <w:sz w:val="17"/>
          <w:szCs w:val="17"/>
          <w:color w:val="auto"/>
        </w:rPr>
      </w:pPr>
    </w:p>
    <w:p>
      <w:pPr>
        <w:ind w:firstLine="987"/>
        <w:spacing w:after="0" w:line="269" w:lineRule="auto"/>
        <w:tabs>
          <w:tab w:leader="none" w:pos="123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Paying Agent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the Paying Agent has written notice, except that if the notice of redemption of any Securities of such series shall theretofore have been mailed in accordance with the provisions hereof, the Paying Agent shall redeem such Securities if funds sufficient for that purpose shall be deposited with the Paying Agent in accordance with the terms of this Article. Except as above provided,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PARTICULAR COVENANTS OF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covenants and agrees as follows: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Payments of Principal, Premium and Interest</w:t>
      </w:r>
      <w:r>
        <w:rPr>
          <w:rFonts w:ascii="Arial" w:cs="Arial" w:eastAsia="Arial" w:hAnsi="Arial"/>
          <w:sz w:val="18"/>
          <w:szCs w:val="18"/>
          <w:color w:val="auto"/>
        </w:rPr>
        <w:t>. The Company, for the benefit of each series of Securities, shall duly and punctually pay or cause to be paid the principal of, premium, if any, and interest on, each series of Securities, at the dates and place and in the manner provided in the Securities and in this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Maintenance of Office or Agency; Paying Agent</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9" w:lineRule="auto"/>
        <w:tabs>
          <w:tab w:leader="none" w:pos="123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shall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The Company hereby initially appoints the Trustee as Paying Agent to receive all presentations, surrenders, notices and demands. So long as the Trustee serves as Paying Agent, it will be entitled as Paying Agent to the same rights of compensation, reimbursement and indemnification under Section 11.01 and Section 11.02 as if it were Trustee. In acting hereunder and in connection with the Notes, the Paying Agent shall act solely as agents of the Company, and will not thereby assume any obligations towards or relationship of agency or trust for or with any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09" w:name="page110"/>
    <w:bookmarkEnd w:id="109"/>
    <w:p>
      <w:pPr>
        <w:ind w:firstLine="987"/>
        <w:spacing w:after="0" w:line="291" w:lineRule="auto"/>
        <w:tabs>
          <w:tab w:leader="none" w:pos="12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obligations described in the preceding paragraph. The Company shall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To Hold Payment in Trust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6" w:lineRule="auto"/>
        <w:tabs>
          <w:tab w:leader="none" w:pos="123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the Company or an Affiliate thereof shall at any time act as Paying Agent with respect to any series of Securities, then, on or before the date on which the principal of, premium, if any, or interest on any of the Securities of that series by their terms or as a result of the calling thereof for redemption shall become payable, the Company or such Affiliate shall segregate and hold in trust for the benefit of the Holders of such Securities or the Trustee a sum sufficient to pay such principal, premium, if any, or interest which shall have so become payable until such sums shall be paid to such Holders or otherwise disposed of as herein provided, and shall notify the Trustee of its action or failure to act in that regard.</w:t>
      </w:r>
    </w:p>
    <w:p>
      <w:pPr>
        <w:spacing w:after="0" w:line="161"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Upon any proceeding under the Bankruptcy Code or any applicable state bankruptcy laws with respect to the Company or any Affiliate thereof, if the Company or such Affiliate is then acting as Paying Agent, the Trustee shall promptly replace the Company or such Affiliate as Paying Agent.</w:t>
      </w:r>
    </w:p>
    <w:p>
      <w:pPr>
        <w:spacing w:after="0" w:line="76" w:lineRule="exact"/>
        <w:rPr>
          <w:sz w:val="20"/>
          <w:szCs w:val="20"/>
          <w:color w:val="auto"/>
        </w:rPr>
      </w:pPr>
    </w:p>
    <w:p>
      <w:pPr>
        <w:ind w:right="60" w:firstLine="987"/>
        <w:spacing w:after="0" w:line="273" w:lineRule="auto"/>
        <w:tabs>
          <w:tab w:leader="none" w:pos="12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the Company shall appoint, and at the time have, a Paying Agent for the payment of the principal of, premium, if any, or interest on any series of Securities, then prior to 11:00 a.m., New York City time, one Business Day prior to the date on which the principal of, premium, if any, or interest on any of the Securities of that series shall become payable as above provided, whether by their terms or as a result of the calling thereof for redemption, the Company shall deposit with such Paying Agent a sum sufficient to pay such principal, premium, if any, or interest, such sum to be held in trust for the benefit of the Holders of such Securities or the Trustee, and (unless such Paying Agent is the Trustee), the Company or any other obligor of such Securities shall promptly notify the Trustee of its payment or failure to make such payment.</w:t>
      </w:r>
    </w:p>
    <w:p>
      <w:pPr>
        <w:spacing w:after="0" w:line="69" w:lineRule="exact"/>
        <w:rPr>
          <w:rFonts w:ascii="Arial" w:cs="Arial" w:eastAsia="Arial" w:hAnsi="Arial"/>
          <w:sz w:val="17"/>
          <w:szCs w:val="17"/>
          <w:color w:val="auto"/>
        </w:rPr>
      </w:pPr>
    </w:p>
    <w:p>
      <w:pPr>
        <w:ind w:right="100" w:firstLine="987"/>
        <w:spacing w:after="0" w:line="263"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Paying Agent shall be a Person other than the Trustee, the Company shall cause such Paying Agent to execute and deliver to the Trustee an instrument in which such Paying Agent shall agree with the Trustee, subject to the provisions of this Section 6.03, that such Paying Agent shall: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10" w:name="page111"/>
    <w:bookmarkEnd w:id="110"/>
    <w:p>
      <w:pPr>
        <w:ind w:left="1600" w:hanging="212"/>
        <w:spacing w:after="0"/>
        <w:tabs>
          <w:tab w:leader="none" w:pos="16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comply with the provisions of the Trust Indenture Act applicable to it as Paying Agent;</w:t>
      </w:r>
    </w:p>
    <w:p>
      <w:pPr>
        <w:spacing w:after="0" w:line="117" w:lineRule="exact"/>
        <w:rPr>
          <w:rFonts w:ascii="Arial" w:cs="Arial" w:eastAsia="Arial" w:hAnsi="Arial"/>
          <w:sz w:val="18"/>
          <w:szCs w:val="18"/>
          <w:color w:val="auto"/>
        </w:rPr>
      </w:pPr>
    </w:p>
    <w:p>
      <w:pPr>
        <w:ind w:left="440" w:right="100" w:firstLine="948"/>
        <w:spacing w:after="0" w:line="342" w:lineRule="auto"/>
        <w:tabs>
          <w:tab w:leader="none" w:pos="165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hold all moneys held by it for the payment of the principal of, premium, if any, or interest on the Securities of that series in trust for the benefit of the Holders of such Securities until such sums shall be paid to such Holders or otherwise disposed of as herein provided;</w:t>
      </w:r>
    </w:p>
    <w:p>
      <w:pPr>
        <w:spacing w:after="0" w:line="15" w:lineRule="exact"/>
        <w:rPr>
          <w:rFonts w:ascii="Arial" w:cs="Arial" w:eastAsia="Arial" w:hAnsi="Arial"/>
          <w:sz w:val="16"/>
          <w:szCs w:val="16"/>
          <w:color w:val="auto"/>
        </w:rPr>
      </w:pPr>
    </w:p>
    <w:p>
      <w:pPr>
        <w:ind w:left="440" w:right="20" w:firstLine="948"/>
        <w:spacing w:after="0" w:line="277" w:lineRule="auto"/>
        <w:tabs>
          <w:tab w:leader="none" w:pos="170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give to the Trustee notice of any Default by the Company or any other obligor upon the Securities of that series in the making of any payment of the principal of, premium, if any, or interest on the Securities of that series; and</w:t>
      </w:r>
    </w:p>
    <w:p>
      <w:pPr>
        <w:spacing w:after="0" w:line="62" w:lineRule="exact"/>
        <w:rPr>
          <w:rFonts w:ascii="Arial" w:cs="Arial" w:eastAsia="Arial" w:hAnsi="Arial"/>
          <w:sz w:val="18"/>
          <w:szCs w:val="18"/>
          <w:color w:val="auto"/>
        </w:rPr>
      </w:pPr>
    </w:p>
    <w:p>
      <w:pPr>
        <w:ind w:left="440" w:right="220" w:firstLine="948"/>
        <w:spacing w:after="0" w:line="277" w:lineRule="auto"/>
        <w:tabs>
          <w:tab w:leader="none" w:pos="169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pay to the Trustee all sums so held in trust by such Paying Agent.</w:t>
      </w:r>
    </w:p>
    <w:p>
      <w:pPr>
        <w:spacing w:after="0" w:line="62" w:lineRule="exact"/>
        <w:rPr>
          <w:rFonts w:ascii="Arial" w:cs="Arial" w:eastAsia="Arial" w:hAnsi="Arial"/>
          <w:sz w:val="18"/>
          <w:szCs w:val="18"/>
          <w:color w:val="auto"/>
        </w:rPr>
      </w:pPr>
    </w:p>
    <w:p>
      <w:pPr>
        <w:ind w:firstLine="987"/>
        <w:spacing w:after="0" w:line="257"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 and, upon such payment by a Paying Agent to the Trustee, such Paying Agent shall be released from all further liability with respect to such moneys.</w:t>
      </w:r>
    </w:p>
    <w:p>
      <w:pPr>
        <w:spacing w:after="0" w:line="79" w:lineRule="exact"/>
        <w:rPr>
          <w:rFonts w:ascii="Arial" w:cs="Arial" w:eastAsia="Arial" w:hAnsi="Arial"/>
          <w:sz w:val="18"/>
          <w:szCs w:val="18"/>
          <w:color w:val="auto"/>
        </w:rPr>
      </w:pPr>
    </w:p>
    <w:p>
      <w:pPr>
        <w:ind w:right="60" w:firstLine="987"/>
        <w:spacing w:after="0" w:line="293" w:lineRule="auto"/>
        <w:tabs>
          <w:tab w:leader="none" w:pos="123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money deposited with the Trustee or any Paying Agent, or then held by the Company, in trust for the payment of the principal of, premium, if any, or interest on any Security of any series and remaining unclaimed for two years after such principal,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w:t>
      </w:r>
    </w:p>
    <w:p>
      <w:pPr>
        <w:spacing w:after="0" w:line="16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Merger, Consolidation and Sale of Assets</w:t>
      </w:r>
      <w:r>
        <w:rPr>
          <w:rFonts w:ascii="Arial" w:cs="Arial" w:eastAsia="Arial" w:hAnsi="Arial"/>
          <w:sz w:val="18"/>
          <w:szCs w:val="18"/>
          <w:color w:val="auto"/>
        </w:rPr>
        <w:t>. Except as otherwise provided as contemplated by Section 3.01 with respect to any series of Securities:</w:t>
      </w:r>
    </w:p>
    <w:p>
      <w:pPr>
        <w:spacing w:after="0" w:line="62" w:lineRule="exact"/>
        <w:rPr>
          <w:sz w:val="20"/>
          <w:szCs w:val="20"/>
          <w:color w:val="auto"/>
        </w:rPr>
      </w:pPr>
    </w:p>
    <w:p>
      <w:pPr>
        <w:ind w:right="300" w:firstLine="987"/>
        <w:spacing w:after="0" w:line="277"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shall not consolidate with or merge into any other Person in a transaction in which the Company is not the surviving entity, or convey, transfer or lease its properties and assets substantially as an entirety to, any Person, unless</w:t>
      </w:r>
    </w:p>
    <w:p>
      <w:pPr>
        <w:spacing w:after="0" w:line="62" w:lineRule="exact"/>
        <w:rPr>
          <w:rFonts w:ascii="Arial" w:cs="Arial" w:eastAsia="Arial" w:hAnsi="Arial"/>
          <w:sz w:val="18"/>
          <w:szCs w:val="18"/>
          <w:color w:val="auto"/>
        </w:rPr>
      </w:pPr>
    </w:p>
    <w:p>
      <w:pPr>
        <w:ind w:left="440" w:right="120" w:firstLine="948"/>
        <w:spacing w:after="0" w:line="275" w:lineRule="auto"/>
        <w:tabs>
          <w:tab w:leader="none" w:pos="1607"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Person formed by such consolidation or into or with which the Company is merged or to whom the Company has conveyed, transferred or leased its properties and assets substantially as an entirety is a corporation, partnership, trust or other entity validly existing under the laws of the British Virgin Islands, Cayman Islands or Hong Kong and such Person expressly assumes by an indenture supplemental to this Indenture all the obligations of the Company under this Indenture and the Securities, including the obligation to pay Additional Amounts with respect to any jurisdiction in which it is organized or resident for tax purposes;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11" w:name="page112"/>
    <w:bookmarkEnd w:id="111"/>
    <w:p>
      <w:pPr>
        <w:ind w:left="280" w:firstLine="948"/>
        <w:spacing w:after="0" w:line="277" w:lineRule="auto"/>
        <w:tabs>
          <w:tab w:leader="none" w:pos="1497"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after giving effect to the transaction, no Event of Default, and no event which, after notice or lapse of time or both, would become an Event of Default, shall have occurred and be continuing; and</w:t>
      </w:r>
    </w:p>
    <w:p>
      <w:pPr>
        <w:spacing w:after="0" w:line="62" w:lineRule="exact"/>
        <w:rPr>
          <w:rFonts w:ascii="Arial" w:cs="Arial" w:eastAsia="Arial" w:hAnsi="Arial"/>
          <w:sz w:val="18"/>
          <w:szCs w:val="18"/>
          <w:color w:val="auto"/>
        </w:rPr>
      </w:pPr>
    </w:p>
    <w:p>
      <w:pPr>
        <w:ind w:left="280" w:right="140" w:firstLine="948"/>
        <w:spacing w:after="0" w:line="263" w:lineRule="auto"/>
        <w:tabs>
          <w:tab w:leader="none" w:pos="154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External Legal Counsel, each stating that such consolidation, merger, conveyance, transfer or lease and such supplemental indenture comply with this Indenture and that all conditions precedent therein provided for relating to such transaction have been complied with.</w:t>
      </w:r>
    </w:p>
    <w:p>
      <w:pPr>
        <w:spacing w:after="0" w:line="75" w:lineRule="exact"/>
        <w:rPr>
          <w:rFonts w:ascii="Arial" w:cs="Arial" w:eastAsia="Arial" w:hAnsi="Arial"/>
          <w:sz w:val="18"/>
          <w:szCs w:val="18"/>
          <w:color w:val="auto"/>
        </w:rPr>
      </w:pPr>
    </w:p>
    <w:p>
      <w:pPr>
        <w:ind w:left="-160" w:right="20" w:firstLine="987"/>
        <w:spacing w:after="0" w:line="287" w:lineRule="auto"/>
        <w:tabs>
          <w:tab w:leader="none" w:pos="108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any consolidation with or merger into any other entity, or any sale other than for cash, or any conveyance or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of directors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00"/>
          </w:cols>
          <w:pgMar w:left="600" w:top="274" w:right="599" w:bottom="1440" w:gutter="0" w:footer="0" w:header="0"/>
        </w:sectPr>
      </w:pPr>
    </w:p>
    <w:bookmarkStart w:id="112" w:name="page113"/>
    <w:bookmarkEnd w:id="11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6.05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ind w:left="-60" w:firstLine="987"/>
        <w:spacing w:after="0" w:line="271" w:lineRule="auto"/>
        <w:tabs>
          <w:tab w:leader="none" w:pos="117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payments of principal, premium, if any, and interest made by or on behalf of the Company in respect of any Security shall be made without withholding or deduction for, or on account of, any present or future taxes, duties, assessments or governmental charges of whatever nature (collectively, “</w:t>
      </w:r>
      <w:r>
        <w:rPr>
          <w:rFonts w:ascii="Arial" w:cs="Arial" w:eastAsia="Arial" w:hAnsi="Arial"/>
          <w:sz w:val="17"/>
          <w:szCs w:val="17"/>
          <w:u w:val="single" w:color="auto"/>
          <w:color w:val="auto"/>
        </w:rPr>
        <w:t>Taxes</w:t>
      </w:r>
      <w:r>
        <w:rPr>
          <w:rFonts w:ascii="Arial" w:cs="Arial" w:eastAsia="Arial" w:hAnsi="Arial"/>
          <w:sz w:val="17"/>
          <w:szCs w:val="17"/>
          <w:color w:val="auto"/>
        </w:rPr>
        <w:t>”) imposed or levied by or within the British Virgin Islands, Cayman Islands, Hong Kong, the PRC or any jurisdiction where the Company or the Paying Agent is otherwise considered by a taxing authority to be a resident for tax purposes (in each case, including any political subdivision or any authority therein or thereof having power to tax) (the “</w:t>
      </w:r>
      <w:r>
        <w:rPr>
          <w:rFonts w:ascii="Arial" w:cs="Arial" w:eastAsia="Arial" w:hAnsi="Arial"/>
          <w:sz w:val="17"/>
          <w:szCs w:val="17"/>
          <w:u w:val="single" w:color="auto"/>
          <w:color w:val="auto"/>
        </w:rPr>
        <w:t>Relevant Jurisdiction</w:t>
      </w:r>
      <w:r>
        <w:rPr>
          <w:rFonts w:ascii="Arial" w:cs="Arial" w:eastAsia="Arial" w:hAnsi="Arial"/>
          <w:sz w:val="17"/>
          <w:szCs w:val="17"/>
          <w:color w:val="auto"/>
        </w:rPr>
        <w:t>”), unless such withholding or deduction of such Taxes is required by law. If the Company is required to make such withholding or deduction, the Company shall pay such additional amounts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Amounts</w:t>
      </w:r>
      <w:r>
        <w:rPr>
          <w:rFonts w:ascii="Arial" w:cs="Arial" w:eastAsia="Arial" w:hAnsi="Arial"/>
          <w:sz w:val="17"/>
          <w:szCs w:val="17"/>
          <w:color w:val="auto"/>
        </w:rPr>
        <w:t>”) as will result in receipt by each Holder of Securities of such amounts as would have been received by such Holder had no such withholding or deduction of such Taxes been required, except that no such Additional Amounts shall be payable:</w:t>
      </w:r>
    </w:p>
    <w:p>
      <w:pPr>
        <w:spacing w:after="0" w:line="70" w:lineRule="exact"/>
        <w:rPr>
          <w:rFonts w:ascii="Arial" w:cs="Arial" w:eastAsia="Arial" w:hAnsi="Arial"/>
          <w:sz w:val="17"/>
          <w:szCs w:val="17"/>
          <w:color w:val="auto"/>
        </w:rPr>
      </w:pPr>
    </w:p>
    <w:p>
      <w:pPr>
        <w:ind w:left="380" w:right="140" w:firstLine="948"/>
        <w:spacing w:after="0" w:line="275" w:lineRule="auto"/>
        <w:tabs>
          <w:tab w:leader="none" w:pos="1547" w:val="left"/>
        </w:tabs>
        <w:numPr>
          <w:ilvl w:val="2"/>
          <w:numId w:val="112"/>
        </w:numPr>
        <w:rPr>
          <w:rFonts w:ascii="Arial" w:cs="Arial" w:eastAsia="Arial" w:hAnsi="Arial"/>
          <w:sz w:val="17"/>
          <w:szCs w:val="17"/>
          <w:color w:val="auto"/>
        </w:rPr>
      </w:pPr>
      <w:r>
        <w:rPr>
          <w:rFonts w:ascii="Arial" w:cs="Arial" w:eastAsia="Arial" w:hAnsi="Arial"/>
          <w:sz w:val="17"/>
          <w:szCs w:val="17"/>
          <w:color w:val="auto"/>
        </w:rPr>
        <w:t>in respect of any such Taxes that would not have been imposed, deducted or withheld but for the existence of any connection (whether present or former) between the Holder or beneficial owner of a Security and the Relevant Jurisdiction other than merely holding such Security or receiving principal, premium, if any, or interest in respect thereof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spacing w:after="0" w:line="68" w:lineRule="exact"/>
        <w:rPr>
          <w:rFonts w:ascii="Arial" w:cs="Arial" w:eastAsia="Arial" w:hAnsi="Arial"/>
          <w:sz w:val="17"/>
          <w:szCs w:val="17"/>
          <w:color w:val="auto"/>
        </w:rPr>
      </w:pPr>
    </w:p>
    <w:p>
      <w:pPr>
        <w:ind w:left="380" w:right="40" w:firstLine="948"/>
        <w:spacing w:after="0" w:line="287" w:lineRule="auto"/>
        <w:tabs>
          <w:tab w:leader="none" w:pos="1597" w:val="left"/>
        </w:tabs>
        <w:numPr>
          <w:ilvl w:val="2"/>
          <w:numId w:val="112"/>
        </w:numPr>
        <w:rPr>
          <w:rFonts w:ascii="Arial" w:cs="Arial" w:eastAsia="Arial" w:hAnsi="Arial"/>
          <w:sz w:val="16"/>
          <w:szCs w:val="16"/>
          <w:color w:val="auto"/>
        </w:rPr>
      </w:pPr>
      <w:r>
        <w:rPr>
          <w:rFonts w:ascii="Arial" w:cs="Arial" w:eastAsia="Arial" w:hAnsi="Arial"/>
          <w:sz w:val="16"/>
          <w:szCs w:val="16"/>
          <w:color w:val="auto"/>
        </w:rPr>
        <w:t>in respect of any Security presented for payment (where presentation is required) more than 30 days after the relevant date, except to the extent that the Holder thereof would have been entitled to such Additional Amounts on presenting the same for payment on the last day of such 30-day period. For this purpose, the “</w:t>
      </w:r>
      <w:r>
        <w:rPr>
          <w:rFonts w:ascii="Arial" w:cs="Arial" w:eastAsia="Arial" w:hAnsi="Arial"/>
          <w:sz w:val="16"/>
          <w:szCs w:val="16"/>
          <w:u w:val="single" w:color="auto"/>
          <w:color w:val="auto"/>
        </w:rPr>
        <w:t>relevant date</w:t>
      </w:r>
      <w:r>
        <w:rPr>
          <w:rFonts w:ascii="Arial" w:cs="Arial" w:eastAsia="Arial" w:hAnsi="Arial"/>
          <w:sz w:val="16"/>
          <w:szCs w:val="16"/>
          <w:color w:val="auto"/>
        </w:rPr>
        <w:t>” in relation to any Security means the later of (a) the due date for such payment or</w:t>
      </w:r>
    </w:p>
    <w:p>
      <w:pPr>
        <w:spacing w:after="0" w:line="2" w:lineRule="exact"/>
        <w:rPr>
          <w:rFonts w:ascii="Arial" w:cs="Arial" w:eastAsia="Arial" w:hAnsi="Arial"/>
          <w:sz w:val="16"/>
          <w:szCs w:val="16"/>
          <w:color w:val="auto"/>
        </w:rPr>
      </w:pPr>
    </w:p>
    <w:p>
      <w:pPr>
        <w:ind w:left="640" w:hanging="26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date such payment was made or duly provided for;</w:t>
      </w:r>
    </w:p>
    <w:p>
      <w:pPr>
        <w:spacing w:after="0" w:line="102" w:lineRule="exact"/>
        <w:rPr>
          <w:rFonts w:ascii="Arial" w:cs="Arial" w:eastAsia="Arial" w:hAnsi="Arial"/>
          <w:sz w:val="18"/>
          <w:szCs w:val="18"/>
          <w:color w:val="auto"/>
        </w:rPr>
      </w:pPr>
    </w:p>
    <w:p>
      <w:pPr>
        <w:ind w:left="380" w:right="160" w:firstLine="948"/>
        <w:spacing w:after="0" w:line="275" w:lineRule="auto"/>
        <w:tabs>
          <w:tab w:leader="none" w:pos="1647" w:val="left"/>
        </w:tabs>
        <w:numPr>
          <w:ilvl w:val="2"/>
          <w:numId w:val="113"/>
        </w:numPr>
        <w:rPr>
          <w:rFonts w:ascii="Arial" w:cs="Arial" w:eastAsia="Arial" w:hAnsi="Arial"/>
          <w:sz w:val="17"/>
          <w:szCs w:val="17"/>
          <w:color w:val="auto"/>
        </w:rPr>
      </w:pPr>
      <w:r>
        <w:rPr>
          <w:rFonts w:ascii="Arial" w:cs="Arial" w:eastAsia="Arial" w:hAnsi="Arial"/>
          <w:sz w:val="17"/>
          <w:szCs w:val="17"/>
          <w:color w:val="auto"/>
        </w:rPr>
        <w:t>in respect of any Taxes that would not have been imposed, deducted or withheld but for a failure of the Holder or beneficial owner of a Security to comply with a timely request by the Company addressed to the Holder or beneficial owner to provide information concerning such Holder’s or beneficial owner’s nationality, residence, identity or connection with any Relevant Jurisdiction, if and to the extent that due and timely compliance with such request is required under the tax laws of such jurisdiction in order to reduce or eliminate any withholding or deduction as to which Additional Amounts would have otherwise been payable to such Holder;</w:t>
      </w:r>
    </w:p>
    <w:p>
      <w:pPr>
        <w:spacing w:after="0" w:line="68" w:lineRule="exact"/>
        <w:rPr>
          <w:rFonts w:ascii="Arial" w:cs="Arial" w:eastAsia="Arial" w:hAnsi="Arial"/>
          <w:sz w:val="17"/>
          <w:szCs w:val="17"/>
          <w:color w:val="auto"/>
        </w:rPr>
      </w:pPr>
    </w:p>
    <w:p>
      <w:pPr>
        <w:ind w:left="380" w:right="320" w:firstLine="948"/>
        <w:spacing w:after="0" w:line="277" w:lineRule="auto"/>
        <w:tabs>
          <w:tab w:leader="none" w:pos="1637"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in respect of any Taxes imposed as a result of a Security being presented for payment (where presentation is required) in the Relevant Jurisdiction, unless such Security could not have been presented for payment elsewhere;</w:t>
      </w:r>
    </w:p>
    <w:p>
      <w:pPr>
        <w:spacing w:after="0" w:line="62" w:lineRule="exact"/>
        <w:rPr>
          <w:rFonts w:ascii="Arial" w:cs="Arial" w:eastAsia="Arial" w:hAnsi="Arial"/>
          <w:sz w:val="18"/>
          <w:szCs w:val="18"/>
          <w:color w:val="auto"/>
        </w:rPr>
      </w:pPr>
    </w:p>
    <w:p>
      <w:pPr>
        <w:ind w:left="1580" w:hanging="252"/>
        <w:spacing w:after="0"/>
        <w:tabs>
          <w:tab w:leader="none" w:pos="158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in respect of any estate, inheritance, gift, sale, transfer, personal property or similar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500" w:top="274" w:right="519" w:bottom="1440" w:gutter="0" w:footer="0" w:header="0"/>
        </w:sectPr>
      </w:pPr>
    </w:p>
    <w:bookmarkStart w:id="113" w:name="page114"/>
    <w:bookmarkEnd w:id="113"/>
    <w:p>
      <w:pPr>
        <w:ind w:left="420" w:right="40" w:firstLine="948"/>
        <w:spacing w:after="0" w:line="279" w:lineRule="auto"/>
        <w:tabs>
          <w:tab w:leader="none" w:pos="1677" w:val="left"/>
        </w:tabs>
        <w:numPr>
          <w:ilvl w:val="1"/>
          <w:numId w:val="1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any Holder of a Security that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63" w:lineRule="exact"/>
        <w:rPr>
          <w:rFonts w:ascii="Arial" w:cs="Arial" w:eastAsia="Arial" w:hAnsi="Arial"/>
          <w:sz w:val="17"/>
          <w:szCs w:val="17"/>
          <w:color w:val="auto"/>
        </w:rPr>
      </w:pPr>
    </w:p>
    <w:p>
      <w:pPr>
        <w:ind w:left="420" w:right="260" w:firstLine="948"/>
        <w:spacing w:after="0" w:line="279" w:lineRule="auto"/>
        <w:tabs>
          <w:tab w:leader="none" w:pos="172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respect of any such Taxes withheld or deducted from any payment under or with respect to any Security where such withholding or deduction is imposed on a payment to an individual and is required to be made pursuant to European Council Directive 2003/48/EC or any other directive implementing the conclusions of the ECOFIN Council meeting of November 26–27, 2000 on the taxation of saving income or any law implementing or complying with, or introduced in order to conform to, any such directive;</w:t>
      </w:r>
    </w:p>
    <w:p>
      <w:pPr>
        <w:spacing w:after="0" w:line="63" w:lineRule="exact"/>
        <w:rPr>
          <w:rFonts w:ascii="Arial" w:cs="Arial" w:eastAsia="Arial" w:hAnsi="Arial"/>
          <w:sz w:val="17"/>
          <w:szCs w:val="17"/>
          <w:color w:val="auto"/>
        </w:rPr>
      </w:pPr>
    </w:p>
    <w:p>
      <w:pPr>
        <w:ind w:left="420" w:right="180" w:firstLine="948"/>
        <w:spacing w:after="0" w:line="311" w:lineRule="auto"/>
        <w:tabs>
          <w:tab w:leader="none" w:pos="177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with respect to any withholding or deduction that is imposed in connection with Sections 1471-1474 of the U.S. Internal Revenue Code and U.S. Treasury regulations thereunder (“FATCA”), any intergovernmental agreement between the United States and any other jurisdiction implementing or relating to FATCA or any non-U.S. law, regulation or guidance enacted or issued with respect thereto;</w:t>
      </w:r>
    </w:p>
    <w:p>
      <w:pPr>
        <w:spacing w:after="0" w:line="40" w:lineRule="exact"/>
        <w:rPr>
          <w:rFonts w:ascii="Arial" w:cs="Arial" w:eastAsia="Arial" w:hAnsi="Arial"/>
          <w:sz w:val="16"/>
          <w:szCs w:val="16"/>
          <w:color w:val="auto"/>
        </w:rPr>
      </w:pPr>
    </w:p>
    <w:p>
      <w:pPr>
        <w:ind w:left="1680" w:hanging="312"/>
        <w:spacing w:after="0"/>
        <w:tabs>
          <w:tab w:leader="none" w:pos="16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such Taxes payable otherwise than by deduction or withholding from payments under or with respect to any Security; or</w:t>
      </w:r>
    </w:p>
    <w:p>
      <w:pPr>
        <w:spacing w:after="0" w:line="140" w:lineRule="exact"/>
        <w:rPr>
          <w:rFonts w:ascii="Arial" w:cs="Arial" w:eastAsia="Arial" w:hAnsi="Arial"/>
          <w:sz w:val="16"/>
          <w:szCs w:val="16"/>
          <w:color w:val="auto"/>
        </w:rPr>
      </w:pPr>
    </w:p>
    <w:p>
      <w:pPr>
        <w:ind w:left="1620" w:hanging="252"/>
        <w:spacing w:after="0"/>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combination of Taxes referred to in the preceding clauses (i) through (ix) above.</w:t>
      </w:r>
    </w:p>
    <w:p>
      <w:pPr>
        <w:spacing w:after="0" w:line="117" w:lineRule="exact"/>
        <w:rPr>
          <w:rFonts w:ascii="Arial" w:cs="Arial" w:eastAsia="Arial" w:hAnsi="Arial"/>
          <w:sz w:val="18"/>
          <w:szCs w:val="18"/>
          <w:color w:val="auto"/>
        </w:rPr>
      </w:pPr>
    </w:p>
    <w:p>
      <w:pPr>
        <w:ind w:left="-20" w:firstLine="987"/>
        <w:spacing w:after="0" w:line="268" w:lineRule="auto"/>
        <w:tabs>
          <w:tab w:leader="none" w:pos="122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In the event that any withholding or deduction for or on account of any Taxes is required and Additional Amounts are payable with respect thereto, at least 10 Business Days prior to each date of payment of principal of, premium, if any, or interest on the Securities, the Company shall furnish to the Trustee and the Paying Agent, if other than the Trustee, an Officers’ Certificate specifying the amount required to be withheld or deducted on such payments to such Holders, certifying that the Company shall pay such amounts required to be withheld to the appropriate governmental authority and certifying to the fact that the Additional Amounts will be payable and the amounts so payable to each Holder, and that the Company will pay to the Trustee or such Paying Agent the Additional Amounts required to be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Officers’ Certificate will be required prior to any date of payment of principal of, premium, if any, or interest on such Securities if there has been no change with respect to the matters set forth in a prior Officers’ Certificate. The Trustee and each Paying Agent shall be entitled to rely on the fact that any Officers’ Certificate contemplated by this Section 6.05(b) has not been furnished as evidence of the fact that no withholding or deduction for or on account of any Taxes is required. The Company covenants to indemnify the Trustee and any Paying Agent for and to hold them harmless against any loss, liability or reasonably incurred expense without fraudulent activity, gross negligence or willful misconduct on their part arising out of or in connection with actions taken or omitted by any of them in reliance on any such Officers’ Certificate furnished pursuant to this Section 6.05(b) or on the fact that any Officers’ Certificate contemplated by this Section 6.05(b) has not been furnished.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60" w:top="274" w:right="459" w:bottom="1440" w:gutter="0" w:footer="0" w:header="0"/>
        </w:sectPr>
      </w:pPr>
    </w:p>
    <w:bookmarkStart w:id="114" w:name="page115"/>
    <w:bookmarkEnd w:id="114"/>
    <w:p>
      <w:pPr>
        <w:ind w:right="80" w:firstLine="987"/>
        <w:spacing w:after="0" w:line="263" w:lineRule="auto"/>
        <w:tabs>
          <w:tab w:leader="none" w:pos="12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Whenever in this Indenture there is mentioned, in any context, the payment of principal, premium, if any, or interest in respect of any Security, such mention shall be deemed to include the payment of Additional Amounts provided for in this Indenture, to the extent that, in such context, Additional Amounts are, were or would be payable in respect thereof pursuant to this Indenture.</w:t>
      </w:r>
    </w:p>
    <w:p>
      <w:pPr>
        <w:spacing w:after="0" w:line="75" w:lineRule="exact"/>
        <w:rPr>
          <w:rFonts w:ascii="Arial" w:cs="Arial" w:eastAsia="Arial" w:hAnsi="Arial"/>
          <w:sz w:val="18"/>
          <w:szCs w:val="18"/>
          <w:color w:val="auto"/>
        </w:rPr>
      </w:pPr>
    </w:p>
    <w:p>
      <w:pPr>
        <w:ind w:right="160" w:firstLine="987"/>
        <w:spacing w:after="0" w:line="263"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Sections 6.05(a), (b) and (c) shall apply in the same manner with respect to the jurisdiction in which any successor Person to the Company is organized or resident for tax purposes or any authority therein or thereof having the power to tax (a “</w:t>
      </w:r>
      <w:r>
        <w:rPr>
          <w:rFonts w:ascii="Arial" w:cs="Arial" w:eastAsia="Arial" w:hAnsi="Arial"/>
          <w:sz w:val="18"/>
          <w:szCs w:val="18"/>
          <w:u w:val="single" w:color="auto"/>
          <w:color w:val="auto"/>
        </w:rPr>
        <w:t>Successor Jurisdiction</w:t>
      </w:r>
      <w:r>
        <w:rPr>
          <w:rFonts w:ascii="Arial" w:cs="Arial" w:eastAsia="Arial" w:hAnsi="Arial"/>
          <w:sz w:val="18"/>
          <w:szCs w:val="18"/>
          <w:color w:val="auto"/>
        </w:rPr>
        <w:t>”), substituting such Successor Jurisdiction for the Relevant Jurisdiction.</w:t>
      </w:r>
    </w:p>
    <w:p>
      <w:pPr>
        <w:spacing w:after="0" w:line="75" w:lineRule="exact"/>
        <w:rPr>
          <w:rFonts w:ascii="Arial" w:cs="Arial" w:eastAsia="Arial" w:hAnsi="Arial"/>
          <w:sz w:val="18"/>
          <w:szCs w:val="18"/>
          <w:color w:val="auto"/>
        </w:rPr>
      </w:pPr>
    </w:p>
    <w:p>
      <w:pPr>
        <w:ind w:right="160" w:firstLine="987"/>
        <w:spacing w:after="0" w:line="263" w:lineRule="auto"/>
        <w:tabs>
          <w:tab w:leader="none" w:pos="12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Company or its successor is required to make any deduction or withholding from any payments or deliveries with respect to the Notes, it shall deliver to the Trustee, the Paying Agent and the Holders official tax receipts evidencing the remittance to the relevant tax authorities of the amounts so withheld or deducted.</w:t>
      </w:r>
    </w:p>
    <w:p>
      <w:pPr>
        <w:spacing w:after="0" w:line="75" w:lineRule="exact"/>
        <w:rPr>
          <w:rFonts w:ascii="Arial" w:cs="Arial" w:eastAsia="Arial" w:hAnsi="Arial"/>
          <w:sz w:val="18"/>
          <w:szCs w:val="18"/>
          <w:color w:val="auto"/>
        </w:rPr>
      </w:pPr>
    </w:p>
    <w:p>
      <w:pPr>
        <w:ind w:right="580" w:firstLine="987"/>
        <w:spacing w:after="0" w:line="277" w:lineRule="auto"/>
        <w:tabs>
          <w:tab w:leader="none" w:pos="121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obligation of the Company to make payments of Additional Amounts under this Section 6.05 shall survive any termination, defeasance or discharge of this Indenture.</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Payment for Consent.</w:t>
      </w:r>
      <w:r>
        <w:rPr>
          <w:rFonts w:ascii="Arial" w:cs="Arial" w:eastAsia="Arial" w:hAnsi="Arial"/>
          <w:sz w:val="18"/>
          <w:szCs w:val="18"/>
          <w:color w:val="auto"/>
        </w:rPr>
        <w:t xml:space="preserve"> The Company will not, and will not permit any of its Controlled Entities to, directly or indirectly, pay or cause to be paid any consideration to or for the benefit of any Holder for or as an inducement to any consent, waiver or amendment of any of the terms or provisions of this Indenture or any series of the Securities unless such consideration is offered to be paid and is paid to all Holders of such series of Securities as may be affected thereby that consent, waive or agree to amend in the time frame set forth in the solicitation documents relating to consent, waiver or amendment.</w:t>
      </w:r>
    </w:p>
    <w:p>
      <w:pPr>
        <w:spacing w:after="0" w:line="188"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The Company shall furnish to the Trustee (a) annually, within 120 days after the end of each fiscal year of the Company (with fiscal year ends on December 31), and (b) within 14 days of a written request from the Trustee, a certificate in or substantially in the form attached hereto as Exhibit B from the principal executive officer, principal financial officer, principal accounting officer or treasurer as to his or her knowledge of the Company’s compliance with all conditions and covenants under this Indenture (which compliance shall be determined without regard to any period of grace or requirement of notice provided under this Indenture), specifying if any Default has occurred and, in the event that any Default has occurred, specifying each such Default and the nature and status thereof of which such person may have knowledge.</w:t>
      </w:r>
    </w:p>
    <w:p>
      <w:pPr>
        <w:spacing w:after="0" w:line="16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Conditional Waiver by Holders of Securities</w:t>
      </w:r>
      <w:r>
        <w:rPr>
          <w:rFonts w:ascii="Arial" w:cs="Arial" w:eastAsia="Arial" w:hAnsi="Arial"/>
          <w:sz w:val="16"/>
          <w:szCs w:val="16"/>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affected by such waiver and at the time Outstanding,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15" w:name="page116"/>
    <w:bookmarkEnd w:id="115"/>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6.09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 The Company shall deliver to the Trustee as soon as possible and in any event within 30 calendar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REMEDIES OF TRUSTEE AND SECURITYHOLDERS</w:t>
      </w:r>
    </w:p>
    <w:p>
      <w:pPr>
        <w:spacing w:after="0" w:line="229"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Except where otherwise indicated by the context or where the term is otherwise defined for a specific purpose, the term “</w:t>
      </w:r>
      <w:r>
        <w:rPr>
          <w:rFonts w:ascii="Arial" w:cs="Arial" w:eastAsia="Arial" w:hAnsi="Arial"/>
          <w:sz w:val="17"/>
          <w:szCs w:val="17"/>
          <w:u w:val="single" w:color="auto"/>
          <w:color w:val="auto"/>
        </w:rPr>
        <w:t>Event of Default</w:t>
      </w:r>
      <w:r>
        <w:rPr>
          <w:rFonts w:ascii="Arial" w:cs="Arial" w:eastAsia="Arial" w:hAnsi="Arial"/>
          <w:sz w:val="17"/>
          <w:szCs w:val="17"/>
          <w:color w:val="auto"/>
        </w:rPr>
        <w:t>” as used in this Indenture with respect to Securities of any series shall mean one of the following described events unless it is either inapplicable to a particular series or it is specifically deleted or modified in the manner contemplated in Section 3.01:</w:t>
      </w:r>
    </w:p>
    <w:p>
      <w:pPr>
        <w:spacing w:after="0" w:line="57" w:lineRule="exact"/>
        <w:rPr>
          <w:sz w:val="20"/>
          <w:szCs w:val="20"/>
          <w:color w:val="auto"/>
        </w:rPr>
      </w:pPr>
    </w:p>
    <w:p>
      <w:pPr>
        <w:ind w:firstLine="987"/>
        <w:spacing w:after="0" w:line="277"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fails to pay principal or premium, if any, in respect of a Security of such series by the due date for such payment (whether at Stated Maturity or upon acceleration, repurchase, redemption or otherwise);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fails to pay interest on a Security of such series within 30 days after the due date for such payment;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defaults in the performance of or breaches its obligations under Section 6.04;</w:t>
      </w:r>
    </w:p>
    <w:p>
      <w:pPr>
        <w:spacing w:after="0" w:line="117" w:lineRule="exact"/>
        <w:rPr>
          <w:rFonts w:ascii="Arial" w:cs="Arial" w:eastAsia="Arial" w:hAnsi="Arial"/>
          <w:sz w:val="18"/>
          <w:szCs w:val="18"/>
          <w:color w:val="auto"/>
        </w:rPr>
      </w:pPr>
    </w:p>
    <w:p>
      <w:pPr>
        <w:jc w:val="both"/>
        <w:ind w:right="140" w:firstLine="987"/>
        <w:spacing w:after="0" w:line="259" w:lineRule="auto"/>
        <w:tabs>
          <w:tab w:leader="none" w:pos="12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subject to the provisions of Section 6.08, defaults in the performance of or breaches any covenant or agreement in this Indenture or under the Securities of such series (other than a default specified in clause (a), (b) or (c) above) and such default or breach continues for a period of 60 consecutive days after written notice by the Trustee or the Holders of 25% or more in aggregate principal amount of the Securities of such series then Outstanding;</w:t>
      </w:r>
    </w:p>
    <w:p>
      <w:pPr>
        <w:spacing w:after="0" w:line="78" w:lineRule="exact"/>
        <w:rPr>
          <w:rFonts w:ascii="Arial" w:cs="Arial" w:eastAsia="Arial" w:hAnsi="Arial"/>
          <w:sz w:val="18"/>
          <w:szCs w:val="18"/>
          <w:color w:val="auto"/>
        </w:rPr>
      </w:pPr>
    </w:p>
    <w:p>
      <w:pPr>
        <w:ind w:right="160" w:firstLine="987"/>
        <w:spacing w:after="0" w:line="272" w:lineRule="auto"/>
        <w:tabs>
          <w:tab w:leader="none" w:pos="123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 there occurs with respect to any indebtedness of the Company or any of its Significant Subsidiaries, whether such indebtedness exists as of the date hereof or shall hereafter be created, (A) an event of default that has resulted in the holder thereof declaring the principal of such indebtedness to be due and payable prior to its stated maturity or (B) a failure to make a payment of principal, interest or premium when due (after giving effect to the expiration of any applicable grace period therefor, a “</w:t>
      </w:r>
      <w:r>
        <w:rPr>
          <w:rFonts w:ascii="Arial" w:cs="Arial" w:eastAsia="Arial" w:hAnsi="Arial"/>
          <w:sz w:val="17"/>
          <w:szCs w:val="17"/>
          <w:u w:val="single" w:color="auto"/>
          <w:color w:val="auto"/>
        </w:rPr>
        <w:t>Payment Default</w:t>
      </w:r>
      <w:r>
        <w:rPr>
          <w:rFonts w:ascii="Arial" w:cs="Arial" w:eastAsia="Arial" w:hAnsi="Arial"/>
          <w:sz w:val="17"/>
          <w:szCs w:val="17"/>
          <w:color w:val="auto"/>
        </w:rPr>
        <w:t>”) and (ii) the outstanding principal amount of such indebtedness, together with the outstanding principal amount of any other indebtedness of such Persons under which there has been a Payment Default or the maturity of which has been so accelerated, is equal to or exceeds US$60,000,000, and in each case, such indebtedness is not discharged, or such acceleration is not otherwise cured or rescinded, within 30 days;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16" w:name="page117"/>
    <w:bookmarkEnd w:id="116"/>
    <w:p>
      <w:pPr>
        <w:ind w:left="-60" w:right="100" w:firstLine="987"/>
        <w:spacing w:after="0" w:line="257" w:lineRule="auto"/>
        <w:tabs>
          <w:tab w:leader="none" w:pos="1156"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final judgments or orders for the payment of money are rendered against the Company or any of the Significant Subsidiaries and are not paid or discharged, and there is a period of 90 consecutive days following entry of the final judgment or order that causes the aggregate amount for all such final judgments or orders outstanding and not paid or discharged against all such Persons (net of any amounts that the Company’s insurance carriers have paid or agreed to pay with respect thereto under applicable policies) to exceed US$60,000,000, during which a stay of enforcement, by reason of a pending appeal or otherwise, is not in effect;</w:t>
      </w:r>
    </w:p>
    <w:p>
      <w:pPr>
        <w:spacing w:after="0" w:line="79" w:lineRule="exact"/>
        <w:rPr>
          <w:rFonts w:ascii="Arial" w:cs="Arial" w:eastAsia="Arial" w:hAnsi="Arial"/>
          <w:sz w:val="18"/>
          <w:szCs w:val="18"/>
          <w:color w:val="auto"/>
        </w:rPr>
      </w:pPr>
    </w:p>
    <w:p>
      <w:pPr>
        <w:ind w:left="-60" w:right="40" w:firstLine="987"/>
        <w:spacing w:after="0" w:line="271" w:lineRule="auto"/>
        <w:tabs>
          <w:tab w:leader="none" w:pos="118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(i) a decree or order for relief in respect of the Company or any of the Significant Subsidiaries in an involuntary case or proceeding under any applicable bankruptcy, insolvency or other similar law or (ii) a decree or order adjudging the Company or any of the Significant Subsidiaries bankrupt or insolvent, or approving as final and nonappealable a petition seeking reorganization, arrangement, adjustment, or composition of or in respect of the Company or any of the Significant Subsidiaries under any applicable bankruptcy, insolvency or other similar law, or appointing a custodian, receiver, liquidator, assignee, trustee, sequestrator, or other similar official of the Company or any of the Significant Subsidiaries or of any substantial part of its or their respective property, or ordering the winding up or liquidation of their respective affairs (or any similar relief granted under any foreign laws), and in any such case the continuance of any such decree or order for relief or any such other decree or order unstayed and in effect for a period of 90 consecutive calendar days;</w:t>
      </w:r>
    </w:p>
    <w:p>
      <w:pPr>
        <w:spacing w:after="0" w:line="70" w:lineRule="exact"/>
        <w:rPr>
          <w:rFonts w:ascii="Arial" w:cs="Arial" w:eastAsia="Arial" w:hAnsi="Arial"/>
          <w:sz w:val="17"/>
          <w:szCs w:val="17"/>
          <w:color w:val="auto"/>
        </w:rPr>
      </w:pPr>
    </w:p>
    <w:p>
      <w:pPr>
        <w:ind w:left="-60" w:firstLine="987"/>
        <w:spacing w:after="0" w:line="268" w:lineRule="auto"/>
        <w:tabs>
          <w:tab w:leader="none" w:pos="118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commencement by the Company or any of the Significant Subsidiaries of a voluntary case or proceeding under any applicable federal, state or foreign bankruptcy, insolvency or other similar law or of any other case or proceeding to be adjudicated bankrupt or insolvent, or the consent by the Company or any Significant Subsidiary to the entry of a decree or order for relief in respect of the Company or any of the Significant Subsidiaries in an involuntary case or proceeding under any applicable bankruptcy, insolvency or other similar law or the commencement of any bankruptcy or insolvency case or proceeding against the Company or any Significant Subsidiary, or the filing by the Company or any Significant Subsidiary of a petition or answer or consent seeking reorganization or relief with respect to the Company or any of the Significant Subsidiaries under any applicable bankruptcy, insolvency or other similar law, or the consent by the Company or any Significant Subsidiary to the filing of such petition or to the appointment of or taking possession by a custodian, receiver, liquidator, assignee, trustee, sequestrator, or other similar official of the Company or any of the Significant Subsidiaries or of any substantial part of its or their respective property pursuant to any such law, or the making by the Company or any of the Significant Subsidiaries of a general assignment for the benefit of creditors in respect of any indebtedness as a result of an inability to pay such indebtedness as it becomes due, or the admission by the Company or any of the Significant Subsidiaries in writing of the inability of the Company to pay its debts generally as they become due, or the taking of corporate action by the Company or any of the Significant Subsidiaries that resolves to commence any such 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00"/>
          </w:cols>
          <w:pgMar w:left="500" w:top="274" w:right="499" w:bottom="1440" w:gutter="0" w:footer="0" w:header="0"/>
        </w:sectPr>
      </w:pPr>
    </w:p>
    <w:bookmarkStart w:id="117" w:name="page118"/>
    <w:bookmarkEnd w:id="117"/>
    <w:p>
      <w:pPr>
        <w:ind w:right="40" w:firstLine="987"/>
        <w:spacing w:after="0" w:line="277" w:lineRule="auto"/>
        <w:tabs>
          <w:tab w:leader="none" w:pos="1206"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Securities of such series or the Indenture is or becomes or is claimed by the Company to be unenforceable, invalid or ceases to be in full force and effect otherwise than is permitted by the Indenture; or</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occurrence of any other Event of Default with respect to Securities of such series as provided in Section 3.01;</w:t>
      </w:r>
    </w:p>
    <w:p>
      <w:pPr>
        <w:spacing w:after="0" w:line="117"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Default under Section 7.01(d) above will not constitute an Event of Default until the Trustee or the Holders of 25% or more in aggregate principal amount of the Securities of such series then Outstanding provide written notice to the Company of the Default and the Company does not cure such Default within the time specified in Section 7.01(d) above after receipt of such notice. In the case of such notice given to the Company by the Holders, the Company will provide a copy of such notice to the Trustee.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Acceleration; Rescission and Annulment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7" w:lineRule="auto"/>
        <w:tabs>
          <w:tab w:leader="none" w:pos="123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Except as otherwise provided as contemplated by Section 3.01 with respect to any series of Securities, if any one or more of the above-described Events of Default (other than an Event of Default specified in Section 7.01(g) or 7.01(h)) shall happen with respect to Securities of any series at the time Outstanding, then, and in each and every such case, during the continuance of any such Event of Default, the Trustee or the Holders of not less than 25% in aggregate principal amount of the Securities of such series then Outstanding may declare the principal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7.01(g) or 7.01(h)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all obligations of the Company in respect of the payment of principal of and interest on the Securities of such series shall terminate.</w:t>
      </w:r>
    </w:p>
    <w:p>
      <w:pPr>
        <w:spacing w:after="0" w:line="63" w:lineRule="exact"/>
        <w:rPr>
          <w:rFonts w:ascii="Arial" w:cs="Arial" w:eastAsia="Arial" w:hAnsi="Arial"/>
          <w:sz w:val="16"/>
          <w:szCs w:val="16"/>
          <w:color w:val="auto"/>
        </w:rPr>
      </w:pPr>
    </w:p>
    <w:p>
      <w:pPr>
        <w:ind w:right="440" w:firstLine="987"/>
        <w:spacing w:after="0" w:line="301" w:lineRule="auto"/>
        <w:tabs>
          <w:tab w:leader="none" w:pos="124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event of a declaration of acceleration with respect to the Securities of any series because of an Event of Default specified in Section 7.01(e) above shall occur, the declaration of acceleration with respect to the Securities of such series shall be automatically annulled if the Default triggering such Event of Default pursuant to Section 7.01(e) above shall be remedied or cured by the Company or any of the Significant Subsidiaries or waived by the holders of the relevant indebtedness within 30 days after the declaration of acceleration with respect thereto and if: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118" w:name="page119"/>
    <w:bookmarkEnd w:id="118"/>
    <w:p>
      <w:pPr>
        <w:ind w:left="440" w:right="60" w:firstLine="948"/>
        <w:spacing w:after="0" w:line="277" w:lineRule="auto"/>
        <w:tabs>
          <w:tab w:leader="none" w:pos="1607" w:val="left"/>
        </w:tabs>
        <w:numPr>
          <w:ilvl w:val="1"/>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annulment of the acceleration with respect to the Securities of such series would not conflict with any judgment or decree of a court of competent jurisdiction; and</w:t>
      </w:r>
    </w:p>
    <w:p>
      <w:pPr>
        <w:spacing w:after="0" w:line="62" w:lineRule="exact"/>
        <w:rPr>
          <w:rFonts w:ascii="Arial" w:cs="Arial" w:eastAsia="Arial" w:hAnsi="Arial"/>
          <w:sz w:val="18"/>
          <w:szCs w:val="18"/>
          <w:color w:val="auto"/>
        </w:rPr>
      </w:pPr>
    </w:p>
    <w:p>
      <w:pPr>
        <w:ind w:left="440" w:right="280" w:firstLine="948"/>
        <w:spacing w:after="0" w:line="263" w:lineRule="auto"/>
        <w:tabs>
          <w:tab w:leader="none" w:pos="165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Events of Default with respect to the Securities of such series, other than the non-payment of principal, premium, if any, or interest on the Securities of such series that became due solely because of such acceleration, have been cured or waived as provided in Section 7.06.</w:t>
      </w:r>
    </w:p>
    <w:p>
      <w:pPr>
        <w:spacing w:after="0" w:line="75" w:lineRule="exact"/>
        <w:rPr>
          <w:rFonts w:ascii="Arial" w:cs="Arial" w:eastAsia="Arial" w:hAnsi="Arial"/>
          <w:sz w:val="18"/>
          <w:szCs w:val="18"/>
          <w:color w:val="auto"/>
        </w:rPr>
      </w:pPr>
    </w:p>
    <w:p>
      <w:pPr>
        <w:ind w:right="60" w:firstLine="987"/>
        <w:spacing w:after="0" w:line="259" w:lineRule="auto"/>
        <w:tabs>
          <w:tab w:leader="none" w:pos="12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any time after such a declaration of acceleration with respect to the Securities of any series has been made and before a judgment or decree for payment of the money due has been obtained by the Trustee as hereinafter provided in this Article, the Holders of at least a majority in aggregate principal amount of the Securities of such series at the time Outstanding may, subject to Sections 7.06 and 14.02, waive all past Defaults and rescind and annul such acceleration if:</w:t>
      </w:r>
    </w:p>
    <w:p>
      <w:pPr>
        <w:spacing w:after="0" w:line="78" w:lineRule="exact"/>
        <w:rPr>
          <w:rFonts w:ascii="Arial" w:cs="Arial" w:eastAsia="Arial" w:hAnsi="Arial"/>
          <w:sz w:val="18"/>
          <w:szCs w:val="18"/>
          <w:color w:val="auto"/>
        </w:rPr>
      </w:pPr>
    </w:p>
    <w:p>
      <w:pPr>
        <w:ind w:left="440" w:right="120" w:firstLine="948"/>
        <w:spacing w:after="0" w:line="277" w:lineRule="auto"/>
        <w:tabs>
          <w:tab w:leader="none" w:pos="160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rescission of the acceleration with respect to the Securities of such series would not conflict with any judgment or decree of a court of competent jurisdiction; and</w:t>
      </w:r>
    </w:p>
    <w:p>
      <w:pPr>
        <w:spacing w:after="0" w:line="62" w:lineRule="exact"/>
        <w:rPr>
          <w:rFonts w:ascii="Arial" w:cs="Arial" w:eastAsia="Arial" w:hAnsi="Arial"/>
          <w:sz w:val="18"/>
          <w:szCs w:val="18"/>
          <w:color w:val="auto"/>
        </w:rPr>
      </w:pPr>
    </w:p>
    <w:p>
      <w:pPr>
        <w:ind w:left="440" w:right="280" w:firstLine="948"/>
        <w:spacing w:after="0" w:line="263" w:lineRule="auto"/>
        <w:tabs>
          <w:tab w:leader="none" w:pos="165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Events of Default with respect to the Securities of such series, other than the non-payment of principal, premium, if any, or interest on the Securities of such series that became due solely because of such acceleration, have been cured or waived as provided in Section 7.06.</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rescission as provided in this Section 7.02 shall affect any subsequent default or impair any right consequent thereon.</w:t>
      </w:r>
    </w:p>
    <w:p>
      <w:pPr>
        <w:spacing w:after="0" w:line="117" w:lineRule="exact"/>
        <w:rPr>
          <w:rFonts w:ascii="Arial" w:cs="Arial" w:eastAsia="Arial" w:hAnsi="Arial"/>
          <w:sz w:val="18"/>
          <w:szCs w:val="18"/>
          <w:color w:val="auto"/>
        </w:rPr>
      </w:pPr>
    </w:p>
    <w:p>
      <w:pPr>
        <w:ind w:right="20" w:firstLine="987"/>
        <w:spacing w:after="0" w:line="255" w:lineRule="auto"/>
        <w:tabs>
          <w:tab w:leader="none" w:pos="12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Other Remedies</w:t>
      </w:r>
      <w:r>
        <w:rPr>
          <w:rFonts w:ascii="Arial" w:cs="Arial" w:eastAsia="Arial" w:hAnsi="Arial"/>
          <w:sz w:val="17"/>
          <w:szCs w:val="17"/>
          <w:color w:val="auto"/>
        </w:rPr>
        <w:t>. If the Company shall fail for a period of 30 calendar days to pay any installment of interest on the Securities of any series or shall fail to pay the principal of and premium, if any, on any of the Securities of such series when and as the same shall become due and payable, whether at Maturity, or by call for redemption (other than pursuant to the sinking fund), by declaration as authorized by this Indenture, or otherwise, or shall fail for a period of 30 calendar days to make any required sinking fund payment as to a series of Securities, then, upon demand of the Trustee, the Company shall pay to the Paying Agent, for the benefit of the Holders of Securities of such series then Outstanding, the whole amount which then shall have become due and payable on all the Securities of such series, with interest on the overdue principal and premium, if any, and (so far as the same may be legally enforceable) on the overdue installments of interest at the rate borne by the Securities of such series, and all amounts owing the Trustee and any predecessor trustee hereunder under Section 11.01(a).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19" w:name="page120"/>
    <w:bookmarkEnd w:id="119"/>
    <w:p>
      <w:pPr>
        <w:ind w:right="1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8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Trustee as Attorney-in-Fact</w:t>
      </w:r>
      <w:r>
        <w:rPr>
          <w:rFonts w:ascii="Arial" w:cs="Arial" w:eastAsia="Arial" w:hAnsi="Arial"/>
          <w:sz w:val="17"/>
          <w:szCs w:val="17"/>
          <w:color w:val="auto"/>
        </w:rPr>
        <w: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Priorities</w:t>
      </w:r>
      <w:r>
        <w:rPr>
          <w:rFonts w:ascii="Arial" w:cs="Arial" w:eastAsia="Arial" w:hAnsi="Arial"/>
          <w:sz w:val="18"/>
          <w:szCs w:val="18"/>
          <w:color w:val="auto"/>
        </w:rPr>
        <w:t>. Any moneys or properties collected by the Trustee, or, after an Event of Default, any moneys or other property distributable in respect of the Company’s obligations under this Indenture, in either case with respect to a series of Securities under this Article VII shall be applied in the following order,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18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First: To the payment of all amounts (including indemnity payments) due to the Trustee, Paying Agent, Registrar and any other Agent and any predecessor trustee, paying agent, registrar and other Agent under Section 11.01(a) and the reasonably incurred expenses and disbursements of its agents, delegates, attorneys and counsel.</w:t>
      </w:r>
    </w:p>
    <w:p>
      <w:pPr>
        <w:spacing w:after="0" w:line="184"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Second: In case the principal of the Outstanding Securities of such series shall not have become due and be unpaid, to the payment of interest on the Securities of such series, in the chronological order of the Stated Maturity of the installments of such interest, with interest (to the extent that such interest has been collected by the Trustee) upon the overdue installments of interest at the rate borne by such Securities, such payments to be made ratably to the Persons entitled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20" w:name="page121"/>
    <w:bookmarkEnd w:id="120"/>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Third: In case the principal of the Outstanding Securities of such series shall have become due, by declaration or otherwise, to the payment of the whole amount then owing and unpaid upon the Securities of such series for principal and premium, if any, and interest, with interest on the overdue principal and premium, if any, and (to the extent that such interest has been collected by the Trustee) upon overdue installments of interest at the rate borne by the Securities of such series, and in case such moneys shall be insufficient to pay in full the whole amounts so due and unpaid upon the Securities of such series,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Security of such series over any other Security of such series, ratably to the aggregate of such principal and premium, if any, and accrued and unpaid interest.</w:t>
      </w:r>
    </w:p>
    <w:p>
      <w:pPr>
        <w:spacing w:after="0" w:line="192"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Fourth: Any surplus then remaining shall be paid to the Company, its successors or assigns, or to whomsoever may be determined by a court of competent jurisdiction to be so entitled.</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Control by Securityholders; Waiver of Past Defaults</w:t>
      </w:r>
      <w:r>
        <w:rPr>
          <w:rFonts w:ascii="Arial" w:cs="Arial" w:eastAsia="Arial" w:hAnsi="Arial"/>
          <w:sz w:val="16"/>
          <w:szCs w:val="16"/>
          <w:color w:val="auto"/>
        </w:rPr>
        <w:t xml:space="preserve">.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Section 11.02, the Trustee shall have the right to decline to follow any such direction if the Trustee being advised by counsel determines that the action so directed may not lawfully be taken or would involve the Trustee in personal liability. The Holders of not less than a majority in aggregate principal amount of such series of Securities at the time Outstanding may on behalf of all Holders of the Securities of such series waive any existing or past Default or Event of Default and its consequences hereunder, except a continuing Default or Event of Default (i) in the payment of principal of, premium, if any, or interest on (or Additional Amount payable in respect of), the Securities of such series then Outstanding, in which event the consent of all Holders of the Securities of such series then Outstanding affected thereby is required, or (ii) in respect of a covenant or provision which under Section 14.02 cannot be modified or amended without the consent of the Holder of each Security of such series then Outstanding affected thereby. Upon any such waiver, the Company, the Trustee and the Holders of the Securities of such series shall be restored to their former positions and rights hereunder,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7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Limitation on Suits</w:t>
      </w:r>
      <w:r>
        <w:rPr>
          <w:rFonts w:ascii="Arial" w:cs="Arial" w:eastAsia="Arial" w:hAnsi="Arial"/>
          <w:sz w:val="16"/>
          <w:szCs w:val="16"/>
          <w:color w:val="auto"/>
        </w:rPr>
        <w:t xml:space="preserve">.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(i) such Holder previously shall have given to the Trustee written notice of one or more of the Events of Default herein specified with respect to such series of Securities, (ii) the Holders of not less than 25% in aggregate principal amount of the Securities of such series then Outstanding shall have requested the Trustee in writing to take action in respect of the matter complained of, (iii) there shall have been offered to the Trustee pre-funding, security and/or indemnity satisfactory to it against the costs, expenses and liabilities to be incurred therein or thereby, and (iv) the Trustee, for 60 calendar days after receipt of such notification, request and offer of pre-funding, security and/or indemnity, shall have failed to institute any such action, suit or proceeding and have not received from the Holders of a majority in aggregate principal amount of the Securities of such series then Outstanding a direction inconsistent with such request; and such notification, request and offer of pre-funding, security and/or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21" w:name="page122"/>
    <w:bookmarkEnd w:id="121"/>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7.08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xml:space="preserve">.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premium, if any, or the interest on, any of the Securities of such series, on or after the respective due dates expressed in such Securities.</w:t>
      </w:r>
    </w:p>
    <w:p>
      <w:pPr>
        <w:spacing w:after="0" w:line="18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Remedies Cumulative; Delay or Omission Not Waiver</w:t>
      </w:r>
      <w:r>
        <w:rPr>
          <w:rFonts w:ascii="Arial" w:cs="Arial" w:eastAsia="Arial" w:hAnsi="Arial"/>
          <w:sz w:val="16"/>
          <w:szCs w:val="16"/>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subject to any determinations in such proceedings,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CONCERNING THE SECURITYHOLDERS</w:t>
      </w:r>
    </w:p>
    <w:p>
      <w:pPr>
        <w:spacing w:after="0" w:line="229" w:lineRule="exact"/>
        <w:rPr>
          <w:sz w:val="20"/>
          <w:szCs w:val="20"/>
          <w:color w:val="auto"/>
        </w:rPr>
      </w:pPr>
    </w:p>
    <w:p>
      <w:pPr>
        <w:ind w:right="220" w:firstLine="440"/>
        <w:spacing w:after="0" w:line="289"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Evidence of Action of Securityholders</w:t>
      </w:r>
      <w:r>
        <w:rPr>
          <w:rFonts w:ascii="Arial" w:cs="Arial" w:eastAsia="Arial" w:hAnsi="Arial"/>
          <w:sz w:val="16"/>
          <w:szCs w:val="16"/>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6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or Holding of Securities</w:t>
      </w:r>
      <w:r>
        <w:rPr>
          <w:rFonts w:ascii="Arial" w:cs="Arial" w:eastAsia="Arial" w:hAnsi="Arial"/>
          <w:sz w:val="18"/>
          <w:szCs w:val="18"/>
          <w:color w:val="auto"/>
        </w:rPr>
        <w:t>. Proof of the execution of any instrument by a Securityholder or his, her or its agent or proxy and proof of the holding by any Person of any of the Securities shall be sufficient if made in the following manner:</w:t>
      </w:r>
    </w:p>
    <w:p>
      <w:pPr>
        <w:spacing w:after="0" w:line="62" w:lineRule="exact"/>
        <w:rPr>
          <w:sz w:val="20"/>
          <w:szCs w:val="20"/>
          <w:color w:val="auto"/>
        </w:rPr>
      </w:pPr>
    </w:p>
    <w:p>
      <w:pPr>
        <w:ind w:firstLine="987"/>
        <w:spacing w:after="0" w:line="275" w:lineRule="auto"/>
        <w:tabs>
          <w:tab w:leader="none" w:pos="123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ownership of Securities of any series shall be proved by the Register of such Securities or by a certificate of the Registrar for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123" w:name="page124"/>
    <w:bookmarkEnd w:id="123"/>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record of any Holders’ meeting shall be proved in the manner provided in Section 9.06.</w:t>
      </w:r>
    </w:p>
    <w:p>
      <w:pPr>
        <w:spacing w:after="0" w:line="117"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8.02 as it shall deem appropriate or necessary, so long as the request is a reasonable one.</w:t>
      </w:r>
    </w:p>
    <w:p>
      <w:pPr>
        <w:spacing w:after="0" w:line="62" w:lineRule="exact"/>
        <w:rPr>
          <w:rFonts w:ascii="Arial" w:cs="Arial" w:eastAsia="Arial" w:hAnsi="Arial"/>
          <w:sz w:val="18"/>
          <w:szCs w:val="18"/>
          <w:color w:val="auto"/>
        </w:rPr>
      </w:pPr>
    </w:p>
    <w:p>
      <w:pPr>
        <w:ind w:firstLine="987"/>
        <w:spacing w:after="0" w:line="271" w:lineRule="auto"/>
        <w:tabs>
          <w:tab w:leader="none" w:pos="123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record date shall not be more than 30 calendar days prior to the first solicitation of any consent or waiver or more than 30 calendar days prior to the date of the most recent list of Holders furnished to the Trustee prior to such solicitation pursuant to Section 312 of the TIA.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96" w:lineRule="auto"/>
        <w:tabs>
          <w:tab w:leader="none" w:pos="123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the Trustee and any agent of the Company or the Trustee may treat the Person in whose name any Security is registered in the Register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agent of the Company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53" w:lineRule="exact"/>
        <w:rPr>
          <w:rFonts w:ascii="Arial" w:cs="Arial" w:eastAsia="Arial" w:hAnsi="Arial"/>
          <w:sz w:val="16"/>
          <w:szCs w:val="16"/>
          <w:color w:val="auto"/>
        </w:rPr>
      </w:pPr>
    </w:p>
    <w:p>
      <w:pPr>
        <w:ind w:right="80" w:firstLine="987"/>
        <w:spacing w:after="0" w:line="263"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None of the Company, the Trustee, any Paying Agent or the Registrar shall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Effect of Consents</w:t>
      </w:r>
      <w:r>
        <w:rPr>
          <w:rFonts w:ascii="Arial" w:cs="Arial" w:eastAsia="Arial" w:hAnsi="Arial"/>
          <w:sz w:val="18"/>
          <w:szCs w:val="18"/>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SECURITYHOLDERS’ MEETINGS</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Purposes of Meetings</w:t>
      </w:r>
      <w:r>
        <w:rPr>
          <w:rFonts w:ascii="Arial" w:cs="Arial" w:eastAsia="Arial" w:hAnsi="Arial"/>
          <w:sz w:val="18"/>
          <w:szCs w:val="18"/>
          <w:color w:val="auto"/>
        </w:rPr>
        <w:t>. A meeting of Securityholders of any or all series may be called at any time and from time to time pursuant to the provisions of this Article IX for any of the following purposes:</w:t>
      </w:r>
    </w:p>
    <w:p>
      <w:pPr>
        <w:spacing w:after="0" w:line="62" w:lineRule="exact"/>
        <w:rPr>
          <w:sz w:val="20"/>
          <w:szCs w:val="20"/>
          <w:color w:val="auto"/>
        </w:rPr>
      </w:pPr>
    </w:p>
    <w:p>
      <w:pPr>
        <w:ind w:firstLine="987"/>
        <w:spacing w:after="0" w:line="263"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XI;</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consent to the execution of an Indenture or of indentures supplemental hereto pursuant to the provisions of Section 14.02; or</w:t>
      </w:r>
    </w:p>
    <w:p>
      <w:pPr>
        <w:spacing w:after="0" w:line="128" w:lineRule="exact"/>
        <w:rPr>
          <w:rFonts w:ascii="Arial" w:cs="Arial" w:eastAsia="Arial" w:hAnsi="Arial"/>
          <w:sz w:val="17"/>
          <w:szCs w:val="17"/>
          <w:color w:val="auto"/>
        </w:rPr>
      </w:pPr>
    </w:p>
    <w:p>
      <w:pPr>
        <w:ind w:right="520" w:firstLine="987"/>
        <w:spacing w:after="0" w:line="308" w:lineRule="auto"/>
        <w:tabs>
          <w:tab w:leader="none" w:pos="124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46"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Call of Meetings by Trustee</w:t>
      </w:r>
      <w:r>
        <w:rPr>
          <w:rFonts w:ascii="Arial" w:cs="Arial" w:eastAsia="Arial" w:hAnsi="Arial"/>
          <w:sz w:val="17"/>
          <w:szCs w:val="17"/>
          <w:color w:val="auto"/>
        </w:rPr>
        <w:t>. The Trustee may at any time call a meeting of all Securityholders of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Such notice shall be mailed not less than 20 nor more than 90 calendar days prior to the date fixed for the meeting.</w:t>
      </w:r>
    </w:p>
    <w:p>
      <w:pPr>
        <w:spacing w:after="0" w:line="176"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Call of Meetings by Company or Securityholders</w:t>
      </w:r>
      <w:r>
        <w:rPr>
          <w:rFonts w:ascii="Arial" w:cs="Arial" w:eastAsia="Arial" w:hAnsi="Arial"/>
          <w:sz w:val="17"/>
          <w:szCs w:val="17"/>
          <w:color w:val="auto"/>
        </w:rPr>
        <w:t>. In case at any time the Company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7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Qualifications for Voting</w:t>
      </w:r>
      <w:r>
        <w:rPr>
          <w:rFonts w:ascii="Arial" w:cs="Arial" w:eastAsia="Arial" w:hAnsi="Arial"/>
          <w:sz w:val="18"/>
          <w:szCs w:val="18"/>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0" w:right="47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9.05 </w:t>
      </w:r>
      <w:r>
        <w:rPr>
          <w:rFonts w:ascii="Arial" w:cs="Arial" w:eastAsia="Arial" w:hAnsi="Arial"/>
          <w:sz w:val="18"/>
          <w:szCs w:val="18"/>
          <w:u w:val="single" w:color="auto"/>
          <w:color w:val="auto"/>
        </w:rPr>
        <w:t>Regulation of Meetings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78"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78" w:lineRule="exact"/>
        <w:rPr>
          <w:rFonts w:ascii="Arial" w:cs="Arial" w:eastAsia="Arial" w:hAnsi="Arial"/>
          <w:sz w:val="18"/>
          <w:szCs w:val="18"/>
          <w:color w:val="auto"/>
        </w:rPr>
      </w:pPr>
    </w:p>
    <w:p>
      <w:pPr>
        <w:ind w:right="20" w:firstLine="987"/>
        <w:spacing w:after="0" w:line="270" w:lineRule="auto"/>
        <w:tabs>
          <w:tab w:leader="none" w:pos="12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At any meeting of Securityholders of a series, each Securityholder of such series of such Securityholder’s proxy shall be entitled to one vote for each US$1,000 principal amount of Securities of such series Outstanding held or represented by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8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Voting</w:t>
      </w:r>
      <w:r>
        <w:rPr>
          <w:rFonts w:ascii="Arial" w:cs="Arial" w:eastAsia="Arial" w:hAnsi="Arial"/>
          <w:sz w:val="17"/>
          <w:szCs w:val="17"/>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record so signed and verified shall be conclusive evidence of the matters therein stated.</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REPORTS BY THE COMPANY AND THE TRUSTEE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SECURITYHOLDERS’ LISTS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63" w:lineRule="auto"/>
        <w:tabs>
          <w:tab w:leader="none" w:pos="12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Trustee’s report required under Section 313(a) of the Trust Indenture Act shall be transmitted on or before April 1 in each year following the date hereof, so long as any Securities are Outstanding hereunder, and shall be dated as of a date convenient to the Trustee no more than 60 nor less than 45 days prior thereto.</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Trustee shall, at the time of the transmission to the Holders of Securities of any report pursuant to the provisions of this</w:t>
      </w:r>
    </w:p>
    <w:p>
      <w:pPr>
        <w:spacing w:after="0" w:line="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10.01, file a copy of such report with each securities exchange upon which the Securities are listed or each automated quotation system on which the Securities are quoted, if any, and also with the SEC in respect of a Security listed and registered on a national securities exchange or automated quotation system, if any. The Company agrees to notify the Trustee when, as and if the Securities become listed or delisted on any securities exchange or admitted to trading on any automated quotation system and of any delisting thereof.</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Company shall reimburse the Trustee for all expenses incurred in the preparation and transmission of any report pursuant to the provisions of this Section 10.01 and of Section 10.02.</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Reports by the Company</w:t>
      </w:r>
      <w:r>
        <w:rPr>
          <w:rFonts w:ascii="Arial" w:cs="Arial" w:eastAsia="Arial" w:hAnsi="Arial"/>
          <w:sz w:val="16"/>
          <w:szCs w:val="16"/>
          <w:color w:val="auto"/>
        </w:rPr>
        <w:t xml:space="preserve">. The Company shall file with the Trustee and the SEC, and transmit to Holders, such information, documents and other reports, and such summaries thereof, as may be required pursuant to the Trust Indenture Act at the times and in the manner provided in the Trust Indenture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information, documents or reports required to be filed with the SEC pursuant to Section 13 or 15(d) of the Exchange Act shall be filed with the Trustee within 30 calendar days after the same is filed with the SEC;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filing of the reports specified in Section 13 or 15(d) of the Exchange Act by an entity that is the direct or indirect parent of the Company shall satisfy the requirements of this Section 10.02 so long as such entity is an obligor or guarantor on the Securities;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reports of such entity shall not be required to include condensed consolidating financial information for the Company in a footnote to the financial statements of such entity.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127" w:name="page128"/>
    <w:bookmarkEnd w:id="127"/>
    <w:p>
      <w:pPr>
        <w:ind w:right="1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 It is expressly understood that materials transmitted electronically by the Company to the Trustee or filed pursuant to the SEC’s EDGAR system (or any successor electronic filing system) shall be deemed filed with the Trustee and transmitted to Holders for purposes of this Section 10.02.</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Securityholders’ Lists</w:t>
      </w:r>
      <w:r>
        <w:rPr>
          <w:rFonts w:ascii="Arial" w:cs="Arial" w:eastAsia="Arial" w:hAnsi="Arial"/>
          <w:sz w:val="17"/>
          <w:szCs w:val="17"/>
          <w:color w:val="auto"/>
        </w:rPr>
        <w:t>. The Company covenants and agrees that it shall furnish or cause to be furnished to the Trustee:</w:t>
      </w:r>
    </w:p>
    <w:p>
      <w:pPr>
        <w:spacing w:after="0" w:line="129" w:lineRule="exact"/>
        <w:rPr>
          <w:sz w:val="20"/>
          <w:szCs w:val="20"/>
          <w:color w:val="auto"/>
        </w:rPr>
      </w:pPr>
    </w:p>
    <w:p>
      <w:pPr>
        <w:ind w:right="200" w:firstLine="987"/>
        <w:spacing w:after="0" w:line="263" w:lineRule="auto"/>
        <w:tabs>
          <w:tab w:leader="none" w:pos="1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semi-annually, within 15 calendar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75"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calendar days after receipt by the Company of any such request, a list of similar form and content as of a date not more than 15 calendar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shall be the Registrar, such lists shall not be required to be furnished.</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CONCERNING THE TRUSTEE</w:t>
      </w:r>
    </w:p>
    <w:p>
      <w:pPr>
        <w:spacing w:after="0" w:line="229"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Rights of Trustees; Compensation and Indemnity</w:t>
      </w:r>
      <w:r>
        <w:rPr>
          <w:rFonts w:ascii="Arial" w:cs="Arial" w:eastAsia="Arial" w:hAnsi="Arial"/>
          <w:sz w:val="16"/>
          <w:szCs w:val="16"/>
          <w:color w:val="auto"/>
        </w:rPr>
        <w:t>. The Trustee accepts the trusts created by this Indenture upon the terms and conditions hereof, including the following, to all of which the parties hereto and the Holders from time to time of the Securities agree:</w:t>
      </w:r>
    </w:p>
    <w:p>
      <w:pPr>
        <w:spacing w:after="0" w:line="16" w:lineRule="exact"/>
        <w:rPr>
          <w:sz w:val="20"/>
          <w:szCs w:val="20"/>
          <w:color w:val="auto"/>
        </w:rPr>
      </w:pPr>
    </w:p>
    <w:p>
      <w:pPr>
        <w:ind w:firstLine="987"/>
        <w:spacing w:after="0" w:line="254" w:lineRule="auto"/>
        <w:tabs>
          <w:tab w:leader="none" w:pos="123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out-of-pocket expenses, disbursements and advances properly incurred or made by the Trustee (including, without limitation, the reasonably incurred expenses and disbursements of its agents, delegates, attorneys and counsel), except any such expense, disbursement or advance caused by its own gross negligence, fraudulent activity or willful misconduct (as determined by a competent court of appropriate jurisdiction in a final, non-appealable judgment).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128" w:name="page129"/>
    <w:bookmarkEnd w:id="128"/>
    <w:p>
      <w:pPr>
        <w:ind w:right="6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also agrees to indemnify each of the Trustee and any predecessor Trustee and their respective officers, employees and directors hereunder for, and to hold it harmless against, any and all loss, liability, damage, claim, or expense incurred without its own gross negligence, fraudulent activity or willful misconduct (as determined by a competent court of appropriate jurisdiction in a final, non-appealable judgment), arising out of or in connection with the acceptance or administration of the trust or trusts hereunder and the performance of its duties (including in any agent capacity in which it acts), as well as the costs and expenses of defending itself against any claim or liability in connection with the exercise or performance of any of its powers or duties hereunder, except those caused by its own gross negligence, fraudulent activity or willful misconduct (as determined by a competent court of appropriate jurisdiction in a final, non-appealable judgment). The Trustee shall notify the Company promptly of any claim for which it may seek indemnity; provided, however, that the failure to so notify the Company shall not affect the obligations of the Company hereunder to indemnify. In the absence of a Default or an Event of Default, the Company need not pay for any settlement made without its consent, which consent shall not be unreasonably withheld.</w:t>
      </w:r>
    </w:p>
    <w:p>
      <w:pPr>
        <w:spacing w:after="0" w:line="185"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As security for the performance of the obligations of the Company under this Section 11.01(a), the Trustee shall have a lien upon all property and funds held or collected by the Trustee as such, except funds held in trust by the Trustee to pay principal of and interest on any Securities. Notwithstanding any provisions of this Indenture to the contrary, the obligations of the Company to compensate and indemnify the Trustee under this Section 11.01(a) shall survive the resignation or removal of the Trustee, any satisfaction and discharge under Article XII , the payment of any Securities and the termination of this Indenture for any reason. In addition to and without prejudice to its other rights hereunder, when the Trustee incurs expenses or renders services after an Event of Default specified in clause (g) or (h) of Section 7.01 occurs, the expenses and compensation for the services are intended to constitute expenses of administration under the Bankruptcy Code or any applicable state bankruptcy, insolvency or similar laws.</w:t>
      </w:r>
    </w:p>
    <w:p>
      <w:pPr>
        <w:spacing w:after="0" w:line="58" w:lineRule="exact"/>
        <w:rPr>
          <w:sz w:val="20"/>
          <w:szCs w:val="20"/>
          <w:color w:val="auto"/>
        </w:rPr>
      </w:pPr>
    </w:p>
    <w:p>
      <w:pPr>
        <w:ind w:right="40" w:firstLine="987"/>
        <w:spacing w:after="0" w:line="342" w:lineRule="auto"/>
        <w:tabs>
          <w:tab w:leader="none" w:pos="124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hereof and perform any duty hereunder either directly or by its agents, delegates and attorneys and shall not be responsible for any misconduct or negligence on the part of any agent or attorney appointed with due care by it hereunder.</w:t>
      </w:r>
    </w:p>
    <w:p>
      <w:pPr>
        <w:spacing w:after="0" w:line="15" w:lineRule="exact"/>
        <w:rPr>
          <w:rFonts w:ascii="Arial" w:cs="Arial" w:eastAsia="Arial" w:hAnsi="Arial"/>
          <w:sz w:val="16"/>
          <w:szCs w:val="16"/>
          <w:color w:val="auto"/>
        </w:rPr>
      </w:pPr>
    </w:p>
    <w:p>
      <w:pPr>
        <w:ind w:firstLine="987"/>
        <w:spacing w:after="0" w:line="272" w:lineRule="auto"/>
        <w:tabs>
          <w:tab w:leader="none" w:pos="12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w:t>
      </w:r>
    </w:p>
    <w:p>
      <w:pPr>
        <w:spacing w:after="0" w:line="69" w:lineRule="exact"/>
        <w:rPr>
          <w:rFonts w:ascii="Arial" w:cs="Arial" w:eastAsia="Arial" w:hAnsi="Arial"/>
          <w:sz w:val="17"/>
          <w:szCs w:val="17"/>
          <w:color w:val="auto"/>
        </w:rPr>
      </w:pPr>
    </w:p>
    <w:p>
      <w:pPr>
        <w:ind w:right="200" w:firstLine="987"/>
        <w:spacing w:after="0" w:line="263" w:lineRule="auto"/>
        <w:tabs>
          <w:tab w:leader="none" w:pos="12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subject to Section 11.02, the advice of such counsel or any Opinion of Counsel shall be full and complete authorization and protection in respect of any action taken, suffered or omitted by the Trustee hereunder in reliance thereon.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129" w:name="page130"/>
    <w:bookmarkEnd w:id="129"/>
    <w:p>
      <w:pPr>
        <w:ind w:left="-20" w:right="60" w:firstLine="987"/>
        <w:spacing w:after="0" w:line="275" w:lineRule="auto"/>
        <w:tabs>
          <w:tab w:leader="none" w:pos="1216" w:val="left"/>
        </w:tabs>
        <w:numPr>
          <w:ilvl w:val="0"/>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subject to Section 11.02,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68" w:lineRule="exact"/>
        <w:rPr>
          <w:rFonts w:ascii="Arial" w:cs="Arial" w:eastAsia="Arial" w:hAnsi="Arial"/>
          <w:sz w:val="17"/>
          <w:szCs w:val="17"/>
          <w:color w:val="auto"/>
        </w:rPr>
      </w:pPr>
    </w:p>
    <w:p>
      <w:pPr>
        <w:ind w:left="-20" w:right="120" w:firstLine="987"/>
        <w:spacing w:after="0" w:line="263" w:lineRule="auto"/>
        <w:tabs>
          <w:tab w:leader="none" w:pos="11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Section 11.04, the Trustee or any agent of the Trustee, in its individual or any other capacity, may become the owner or pledgee of Securities and, subject to Sections 310(b) and 311 of the TIA, may otherwise deal with the Company with the same rights it would have had if it were not the Trustee or such agent.</w:t>
      </w:r>
    </w:p>
    <w:p>
      <w:pPr>
        <w:spacing w:after="0" w:line="75" w:lineRule="exact"/>
        <w:rPr>
          <w:rFonts w:ascii="Arial" w:cs="Arial" w:eastAsia="Arial" w:hAnsi="Arial"/>
          <w:sz w:val="18"/>
          <w:szCs w:val="18"/>
          <w:color w:val="auto"/>
        </w:rPr>
      </w:pPr>
    </w:p>
    <w:p>
      <w:pPr>
        <w:ind w:left="-20" w:firstLine="987"/>
        <w:spacing w:after="0" w:line="311" w:lineRule="auto"/>
        <w:tabs>
          <w:tab w:leader="none" w:pos="122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Money held by the Trustee in trust hereunder need not be segregated from other funds except to the extent required by law. The Trustee shall be under no liability for interest on or investment of any money received by it hereunder except as otherwise agreed in writing with the Company. To the extent the Company does not provide the written instructions to the Trustee, such funds on deposit in the shall remain uninvested</w:t>
      </w:r>
    </w:p>
    <w:p>
      <w:pPr>
        <w:spacing w:after="0" w:line="40" w:lineRule="exact"/>
        <w:rPr>
          <w:rFonts w:ascii="Arial" w:cs="Arial" w:eastAsia="Arial" w:hAnsi="Arial"/>
          <w:sz w:val="16"/>
          <w:szCs w:val="16"/>
          <w:color w:val="auto"/>
        </w:rPr>
      </w:pPr>
    </w:p>
    <w:p>
      <w:pPr>
        <w:jc w:val="both"/>
        <w:ind w:left="-20" w:right="40" w:firstLine="987"/>
        <w:spacing w:after="0" w:line="259" w:lineRule="auto"/>
        <w:tabs>
          <w:tab w:leader="none" w:pos="122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78" w:lineRule="exact"/>
        <w:rPr>
          <w:rFonts w:ascii="Arial" w:cs="Arial" w:eastAsia="Arial" w:hAnsi="Arial"/>
          <w:sz w:val="18"/>
          <w:szCs w:val="18"/>
          <w:color w:val="auto"/>
        </w:rPr>
      </w:pPr>
    </w:p>
    <w:p>
      <w:pPr>
        <w:ind w:left="-20" w:right="60" w:firstLine="987"/>
        <w:spacing w:after="0" w:line="263" w:lineRule="auto"/>
        <w:tabs>
          <w:tab w:leader="none" w:pos="118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shall be entitled to conclusively rely and shall be fully protected in acting or refraining from acting upon any resolution, certificate, statement, instrument, opinion, report, notice, request, consent, order, approval, bond, debenture or other paper or document believed by it to be genuine and to have been signed or presented by the proper party or parties.</w:t>
      </w:r>
    </w:p>
    <w:p>
      <w:pPr>
        <w:spacing w:after="0" w:line="75" w:lineRule="exact"/>
        <w:rPr>
          <w:rFonts w:ascii="Arial" w:cs="Arial" w:eastAsia="Arial" w:hAnsi="Arial"/>
          <w:sz w:val="18"/>
          <w:szCs w:val="18"/>
          <w:color w:val="auto"/>
        </w:rPr>
      </w:pPr>
    </w:p>
    <w:p>
      <w:pPr>
        <w:ind w:left="-20" w:right="100" w:firstLine="987"/>
        <w:spacing w:after="0" w:line="259" w:lineRule="auto"/>
        <w:tabs>
          <w:tab w:leader="none" w:pos="118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pre-funding, security and/or indemnity satisfactory to it against the costs, expenses and liabilities which may be incurred by it therein or thereby.</w:t>
      </w:r>
    </w:p>
    <w:p>
      <w:pPr>
        <w:spacing w:after="0" w:line="78" w:lineRule="exact"/>
        <w:rPr>
          <w:rFonts w:ascii="Arial" w:cs="Arial" w:eastAsia="Arial" w:hAnsi="Arial"/>
          <w:sz w:val="18"/>
          <w:szCs w:val="18"/>
          <w:color w:val="auto"/>
        </w:rPr>
      </w:pPr>
    </w:p>
    <w:p>
      <w:pPr>
        <w:ind w:left="-20" w:right="740" w:firstLine="987"/>
        <w:spacing w:after="0" w:line="277" w:lineRule="auto"/>
        <w:tabs>
          <w:tab w:leader="none" w:pos="122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by it in good faith and believed by it to be authorized or within its discretion or within the rights or powers conferred upon it by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130" w:name="page131"/>
    <w:bookmarkEnd w:id="130"/>
    <w:p>
      <w:pPr>
        <w:ind w:right="60" w:firstLine="987"/>
        <w:spacing w:after="0" w:line="259" w:lineRule="auto"/>
        <w:tabs>
          <w:tab w:leader="none" w:pos="1206"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deemed to have knowledge or be charged with notice of any Default or Event of Default with respect to any Securities unless a Responsible Officer of the Trustee has actual knowledge by way of written notice thereof or unless the Holders of not less than 25% of the Outstanding Securities notify the Trustee thereof by a written notice to the Trustee that is received by the Trustee at its Corporate Trust Office and such notice references such Securities , the Company and this Indenture.</w:t>
      </w:r>
    </w:p>
    <w:p>
      <w:pPr>
        <w:spacing w:after="0" w:line="78" w:lineRule="exact"/>
        <w:rPr>
          <w:rFonts w:ascii="Arial" w:cs="Arial" w:eastAsia="Arial" w:hAnsi="Arial"/>
          <w:sz w:val="18"/>
          <w:szCs w:val="18"/>
          <w:color w:val="auto"/>
        </w:rPr>
      </w:pPr>
    </w:p>
    <w:p>
      <w:pPr>
        <w:ind w:right="100" w:firstLine="987"/>
        <w:spacing w:after="0" w:line="279" w:lineRule="auto"/>
        <w:tabs>
          <w:tab w:leader="none" w:pos="129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direction, consent, order, bond, debenture, note, other evidence of Indebtedness or other paper or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but shall not be required to, make further inquiry or investigation into such facts or matters as it may see fit at the expense of the Company and shall incur no liability of any kind by reason of such inquiry or investigation.</w:t>
      </w:r>
    </w:p>
    <w:p>
      <w:pPr>
        <w:spacing w:after="0" w:line="63" w:lineRule="exact"/>
        <w:rPr>
          <w:rFonts w:ascii="Arial" w:cs="Arial" w:eastAsia="Arial" w:hAnsi="Arial"/>
          <w:sz w:val="17"/>
          <w:szCs w:val="17"/>
          <w:color w:val="auto"/>
        </w:rPr>
      </w:pPr>
    </w:p>
    <w:p>
      <w:pPr>
        <w:ind w:right="180" w:firstLine="987"/>
        <w:spacing w:after="0" w:line="263" w:lineRule="auto"/>
        <w:tabs>
          <w:tab w:leader="none" w:pos="12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Citibank, N.A. in each of its capacities hereunder (including, as of the date of this Indenture, the Paying Agent and the Registrar), and to each agent, custodian and other person employed to act hereunder.</w:t>
      </w:r>
    </w:p>
    <w:p>
      <w:pPr>
        <w:spacing w:after="0" w:line="75"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goodwill or opportunity), whether or not foreseeable, even if the Trustee has been advised of the possibility of such loss or damage and regardless of the form of action. The provisions of this Section 11.01(o) shall survive the termination or discharge of this Indenture and the resignation or removal of the Trustee.</w:t>
      </w:r>
    </w:p>
    <w:p>
      <w:pPr>
        <w:spacing w:after="0" w:line="78" w:lineRule="exact"/>
        <w:rPr>
          <w:rFonts w:ascii="Arial" w:cs="Arial" w:eastAsia="Arial" w:hAnsi="Arial"/>
          <w:sz w:val="18"/>
          <w:szCs w:val="18"/>
          <w:color w:val="auto"/>
        </w:rPr>
      </w:pPr>
    </w:p>
    <w:p>
      <w:pPr>
        <w:ind w:firstLine="987"/>
        <w:spacing w:after="0" w:line="311" w:lineRule="auto"/>
        <w:tabs>
          <w:tab w:leader="none" w:pos="124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40" w:lineRule="exact"/>
        <w:rPr>
          <w:rFonts w:ascii="Arial" w:cs="Arial" w:eastAsia="Arial" w:hAnsi="Arial"/>
          <w:sz w:val="16"/>
          <w:szCs w:val="16"/>
          <w:color w:val="auto"/>
        </w:rPr>
      </w:pPr>
    </w:p>
    <w:p>
      <w:pPr>
        <w:ind w:left="1240" w:hanging="253"/>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permissive right of the Trustee to take or refrain from taking action hereunder shall not be construed as a duty.</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Trustee is not required to give any bond or surety with respect to the performance of its duties or the exercise of its powers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Indenture.</w:t>
      </w:r>
    </w:p>
    <w:p>
      <w:pPr>
        <w:spacing w:after="0" w:line="102" w:lineRule="exact"/>
        <w:rPr>
          <w:rFonts w:ascii="Arial" w:cs="Arial" w:eastAsia="Arial" w:hAnsi="Arial"/>
          <w:sz w:val="16"/>
          <w:szCs w:val="16"/>
          <w:color w:val="auto"/>
        </w:rPr>
      </w:pPr>
    </w:p>
    <w:p>
      <w:pPr>
        <w:ind w:right="40" w:firstLine="987"/>
        <w:spacing w:after="0" w:line="254" w:lineRule="auto"/>
        <w:tabs>
          <w:tab w:leader="none" w:pos="122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 may refrain from taking any action in any jurisdiction if taking such action in that jurisdiction would, in the reasonable opinion of the Trustee based on written legal advice received from qualified legal counsel in the relevant jurisdiction, be contrary to any law of that jurisdiction or, to the extent applicable, the State of New York. Furthermore, the Trustee may refrain from taking such action if, in the reasonable opinion of the Trustee based on such legal advice, it would otherwise render the Trustee liable to any person in that jurisdiction or the State of New York and there has not been offered to the Trustee pre-funding, security and/or indemnity satisfactory to it against the liabilities to be incurred therein or thereby, or the Trustee would not have the legal capacity to take such action in that jurisdiction by virtue of applicable law in that jurisdiction or the State of New York or by virtue of a written order of any court or other competent authority in that jurisdiction that the Trustee does not have such legal capacity.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59" w:lineRule="auto"/>
        <w:tabs>
          <w:tab w:leader="none" w:pos="12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its exercise, as a prudent person would exercise or use under the circumstances in the conduct of such person’s own affairs.</w:t>
      </w:r>
    </w:p>
    <w:p>
      <w:pPr>
        <w:spacing w:after="0" w:line="186"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Unless and until an Event of Default specified in Section 7.01 with respect to the Securities of any series shall have happened which at the time is continuing,</w:t>
      </w:r>
    </w:p>
    <w:p>
      <w:pPr>
        <w:spacing w:after="0" w:line="62" w:lineRule="exact"/>
        <w:rPr>
          <w:rFonts w:ascii="Arial" w:cs="Arial" w:eastAsia="Arial" w:hAnsi="Arial"/>
          <w:sz w:val="18"/>
          <w:szCs w:val="18"/>
          <w:color w:val="auto"/>
        </w:rPr>
      </w:pPr>
    </w:p>
    <w:p>
      <w:pPr>
        <w:ind w:left="440" w:firstLine="948"/>
        <w:spacing w:after="0" w:line="263" w:lineRule="auto"/>
        <w:tabs>
          <w:tab w:leader="none" w:pos="160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75" w:lineRule="exact"/>
        <w:rPr>
          <w:rFonts w:ascii="Arial" w:cs="Arial" w:eastAsia="Arial" w:hAnsi="Arial"/>
          <w:sz w:val="18"/>
          <w:szCs w:val="18"/>
          <w:color w:val="auto"/>
        </w:rPr>
      </w:pPr>
    </w:p>
    <w:p>
      <w:pPr>
        <w:ind w:left="440" w:firstLine="948"/>
        <w:spacing w:after="0" w:line="255" w:lineRule="auto"/>
        <w:tabs>
          <w:tab w:leader="none" w:pos="165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the Trustee shall be entitled to conclusively rely, as to the truth of the statements and the correctness of the opinions expressed therein, in the absence of bad faith on the part of the Trustee, upon certificates and opinions furnished to it pursuant to the express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84" w:lineRule="exact"/>
        <w:rPr>
          <w:rFonts w:ascii="Arial" w:cs="Arial" w:eastAsia="Arial" w:hAnsi="Arial"/>
          <w:sz w:val="18"/>
          <w:szCs w:val="18"/>
          <w:color w:val="auto"/>
        </w:rPr>
      </w:pPr>
    </w:p>
    <w:p>
      <w:pPr>
        <w:ind w:right="180" w:firstLine="987"/>
        <w:spacing w:after="0" w:line="342" w:lineRule="auto"/>
        <w:tabs>
          <w:tab w:leader="none" w:pos="123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None of the provisions of this Indenture shall be construed as relieving the Trustee from liability for its own grossly negligent action, grossly negligent failure to act, or its own willful misconduct, except that, anything in this Indenture contained to the contrary notwithstanding,</w:t>
      </w:r>
    </w:p>
    <w:p>
      <w:pPr>
        <w:spacing w:after="0" w:line="15" w:lineRule="exact"/>
        <w:rPr>
          <w:rFonts w:ascii="Arial" w:cs="Arial" w:eastAsia="Arial" w:hAnsi="Arial"/>
          <w:sz w:val="16"/>
          <w:szCs w:val="16"/>
          <w:color w:val="auto"/>
        </w:rPr>
      </w:pPr>
    </w:p>
    <w:p>
      <w:pPr>
        <w:ind w:left="440" w:right="40" w:firstLine="948"/>
        <w:spacing w:after="0" w:line="308" w:lineRule="auto"/>
        <w:tabs>
          <w:tab w:leader="none" w:pos="160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Trustee shall not be liable to any Holder of Securities or to any other Person for any error of judgment made in good faith by a Responsible Officer of the Trustee, unless it shall be proved that the Trustee was grossly negligent in ascertaining the pertinent facts;</w:t>
      </w:r>
    </w:p>
    <w:p>
      <w:pPr>
        <w:spacing w:after="0" w:line="38" w:lineRule="exact"/>
        <w:rPr>
          <w:rFonts w:ascii="Arial" w:cs="Arial" w:eastAsia="Arial" w:hAnsi="Arial"/>
          <w:sz w:val="17"/>
          <w:szCs w:val="17"/>
          <w:color w:val="auto"/>
        </w:rPr>
      </w:pPr>
    </w:p>
    <w:p>
      <w:pPr>
        <w:ind w:left="440" w:right="100" w:firstLine="948"/>
        <w:spacing w:after="0" w:line="311" w:lineRule="auto"/>
        <w:tabs>
          <w:tab w:leader="none" w:pos="165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32" w:name="page133"/>
    <w:bookmarkEnd w:id="132"/>
    <w:p>
      <w:pPr>
        <w:ind w:left="440" w:right="400" w:firstLine="948"/>
        <w:spacing w:after="0" w:line="259" w:lineRule="auto"/>
        <w:tabs>
          <w:tab w:leader="none" w:pos="17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pre-funding, security and/or indemnity against such risk or liability is not reasonably assured to it; and</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this subsection (c) shall not be construed to limit the effect of subsection (b) of this Section 11.02.</w:t>
      </w:r>
    </w:p>
    <w:p>
      <w:pPr>
        <w:spacing w:after="0" w:line="117"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Notice of Defaults</w:t>
      </w:r>
      <w:r>
        <w:rPr>
          <w:rFonts w:ascii="Arial" w:cs="Arial" w:eastAsia="Arial" w:hAnsi="Arial"/>
          <w:sz w:val="16"/>
          <w:szCs w:val="16"/>
          <w:color w:val="auto"/>
        </w:rPr>
        <w:t>. Within 90 calendar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unless such Default shall have been cured or waived before the giving of such notice (the term “</w:t>
      </w:r>
      <w:r>
        <w:rPr>
          <w:rFonts w:ascii="Arial" w:cs="Arial" w:eastAsia="Arial" w:hAnsi="Arial"/>
          <w:sz w:val="16"/>
          <w:szCs w:val="16"/>
          <w:u w:val="single" w:color="auto"/>
          <w:color w:val="auto"/>
        </w:rPr>
        <w:t>Default</w:t>
      </w:r>
      <w:r>
        <w:rPr>
          <w:rFonts w:ascii="Arial" w:cs="Arial" w:eastAsia="Arial" w:hAnsi="Arial"/>
          <w:sz w:val="16"/>
          <w:szCs w:val="16"/>
          <w:color w:val="auto"/>
        </w:rPr>
        <w: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 (it being understood that the trustee does not have an affirmative duty to ascertain whether or not any such notice is in the interests of such Holders).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59" w:lineRule="auto"/>
        <w:tabs>
          <w:tab w:leader="none" w:pos="12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Trustee shall at all times satisfy the requirements of Section 310(a) of the TIA. The Trustee shall have a combined capital and surplus of at least US$50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33" w:name="page134"/>
    <w:bookmarkEnd w:id="133"/>
    <w:p>
      <w:pPr>
        <w:ind w:right="40" w:firstLine="987"/>
        <w:spacing w:after="0" w:line="291" w:lineRule="auto"/>
        <w:tabs>
          <w:tab w:leader="none" w:pos="1246"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Trustee shall comply with Section 310(b) of the TIA;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the operation of Section 310(b)(i) of the TIA any indenture or indentures under which other securities or certificates of interest or participation in other securities of the Company are Outstanding if the requirements for such exclusion set forth in Section 310(b)(1) of the TIA are met. If the Trustee has or shall acquire a conflicting interest within the meaning of Section 310(b) of the TIA, the Trustee shall either eliminate such interest or resign, to the extent and in the manner provided by, and subject to the provisions of, the Trust Indenture Act and this Indenture. If Section 310(b) of the TIA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6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Resignation and Notice; Removal</w:t>
      </w:r>
      <w:r>
        <w:rPr>
          <w:rFonts w:ascii="Arial" w:cs="Arial" w:eastAsia="Arial" w:hAnsi="Arial"/>
          <w:sz w:val="18"/>
          <w:szCs w:val="18"/>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right="480" w:firstLine="436"/>
        <w:spacing w:after="0" w:line="277"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the provisions of Section 310(b) of the TIA after written request therefor by the Company or by any 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of a Security for at least six months, or</w:t>
      </w:r>
    </w:p>
    <w:p>
      <w:pPr>
        <w:spacing w:after="0" w:line="62"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under Section 11.04 and shall fail to resign after written request therefor by the Company or by any 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of a Security for at least six months, or</w:t>
      </w:r>
    </w:p>
    <w:p>
      <w:pPr>
        <w:spacing w:after="0" w:line="62"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then, in any such case, (i) the Company by written notice to the Trustee may remove the Trustee and appoint a successor Trustee with respect to all Securities, or (ii) subject to Section 315(e) of the TIA, any Securityholder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Upon its resignation or removal, any Trustee shall be entitled to the payment of compensation for the services rendered hereunder by such Trustee and to the payment of all reasonable expenses incurred hereunder and all moneys then due to it hereunder. The Trustee’s rights to indemnification and its lien provided in Section 11.01(a) shall survive its resignation or removal, the satisfaction and discharge of this Indenture and the termination of this Indenture for any reason.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11.06 </w:t>
      </w:r>
      <w:r>
        <w:rPr>
          <w:rFonts w:ascii="Arial" w:cs="Arial" w:eastAsia="Arial" w:hAnsi="Arial"/>
          <w:sz w:val="18"/>
          <w:szCs w:val="18"/>
          <w:u w:val="single" w:color="auto"/>
          <w:color w:val="auto"/>
        </w:rPr>
        <w:t>Successor Trustee by Appointment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5" w:lineRule="auto"/>
        <w:tabs>
          <w:tab w:leader="none" w:pos="123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In case at any time the Trustee shall resign, or shall be removed (unless the Trustee shall be removed as provided in Section 11.04(b), in which event the vacancy shall be filled as provided in Section 11.04(b)), or shall become incapable of acting, or shall be adjudged bankrupt or insolvent, or if a receiver of the Trustee or of its property shall be appointed, or if any public officer shall take charge or control of the Trustee or of its property or affairs for the purpose of rehabilitation, conservation or liquidation with respect to the Securities of one or more series,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series) may be appointed by the Holders of a majority in aggregate principal amount of the Securities of that or those series then Outstanding, by an instrument or instruments in writing signed in duplicate by such Holders and filed, one original thereof with the Company and the other with the successor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a successor Trustee shall have been so appointed by the Holders of Securities of that or those series as herein authorized, the Company, or, in case all or substantially all the assets of the Company shall be in the possession of one or more custodians or receivers lawfully appointed, or of trustees in bankruptcy or reorganization proceedings (including a trustee or trustees appointed under the provisions of the Bankruptcy Code), or of assignees for the benefit of creditors, such receivers, custodians, trustees or assignees, as the case may be, by an instrument in writing, shall appoint a successor Trustee with respect to the Securities of such series. Subject to the provisions of Sections 11.04 and 11.05, upon the appointment as above provided of a successor Trustee with respect to the Securities of any series, the Trustee with respect to the Securities of such series shall cease to be Trustee hereunder. After any such appointment other than by the Holders of Securities of that or those series, the Person making such appointment shall forthwith cause notice thereof to be mailed to the Holders of Securities of such series at their addresses as the same shall then appear on the Register but any successor Trustee with respect to the Securities of such series so appointed shall, immediately and without further act, be superseded by a successor Trustee appointed by the Holders of Securities of such series in the manner above prescribed, if such appointment be made prior to the expiration of one year from the date of the mailing of such notice by the Company, or by such receivers, trustees or assignees.</w:t>
      </w:r>
    </w:p>
    <w:p>
      <w:pPr>
        <w:spacing w:after="0" w:line="60" w:lineRule="exact"/>
        <w:rPr>
          <w:rFonts w:ascii="Arial" w:cs="Arial" w:eastAsia="Arial" w:hAnsi="Arial"/>
          <w:sz w:val="16"/>
          <w:szCs w:val="16"/>
          <w:color w:val="auto"/>
        </w:rPr>
      </w:pPr>
    </w:p>
    <w:p>
      <w:pPr>
        <w:ind w:right="140" w:firstLine="987"/>
        <w:spacing w:after="0" w:line="290" w:lineRule="auto"/>
        <w:tabs>
          <w:tab w:leader="none" w:pos="124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any Trustee with respect to the Securities of one or more series shall resign or be removed and a successor Trustee shall not have been appointed by the Company or by the Holders of the Securities of such series or, if any successor Trustee so appointed shall not have accepted its appointment within 30 calendar days after such appointment shall have been made, the resigning Trustee may, on behalf of and at the expense of the Company, appoint its own successor or the retiring Trustee or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135" w:name="page136"/>
    <w:bookmarkEnd w:id="135"/>
    <w:p>
      <w:pPr>
        <w:ind w:firstLine="987"/>
        <w:spacing w:after="0" w:line="286" w:lineRule="auto"/>
        <w:tabs>
          <w:tab w:leader="none" w:pos="1236"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subject nevertheless to its lien provided for in Section 11.01(a). Nevertheless, on the written request of the Company or of the successor Trustee or of the Holders of at least 10% in aggregate principal amount of the Securities of such series then Outstanding, such predecessor Trustee, upon payment of its said charges and disbursements, shall execute and deliver an instrument transferring to such successor Trustee upon the trusts herein expressed all the rights, powers and trusts of such predecessor Trustee and shall assign, transfer and deliver to the successor Trustee all moneys and properties held by such predecessor Trustee, subject nevertheless to its lien provided for in Section 11.01(a); and, upon request of any such successor Trustee and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74"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Successor Trustee by Merger</w:t>
      </w:r>
      <w:r>
        <w:rPr>
          <w:rFonts w:ascii="Arial" w:cs="Arial" w:eastAsia="Arial" w:hAnsi="Arial"/>
          <w:sz w:val="17"/>
          <w:szCs w:val="17"/>
          <w:color w:val="auto"/>
        </w:rPr>
        <w:t xml:space="preserve">.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such Trustee may authenticate such Securities either in the name of any predecessor Trustee hereunder or in the name of the successor Trustee; and in all such cases such certificates shall have the full force which it is anywhere in the Securities or in this Indenture provided that the certificate of the Trustee shall have;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 to adopt the certificate of authentication of any predecessor Trustee or authenticate Securities in the name of any predecessor Trustee shall apply only to its successor or successors by merger, conversion or consolidation.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136" w:name="page137"/>
    <w:bookmarkEnd w:id="136"/>
    <w:p>
      <w:pPr>
        <w:ind w:right="1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11.08 </w:t>
      </w:r>
      <w:r>
        <w:rPr>
          <w:rFonts w:ascii="Arial" w:cs="Arial" w:eastAsia="Arial" w:hAnsi="Arial"/>
          <w:sz w:val="16"/>
          <w:szCs w:val="16"/>
          <w:u w:val="single" w:color="auto"/>
          <w:color w:val="auto"/>
        </w:rPr>
        <w:t>Right to Rely on Opinion of Counsel and/or Officers’ Certificate</w:t>
      </w:r>
      <w:r>
        <w:rPr>
          <w:rFonts w:ascii="Arial" w:cs="Arial" w:eastAsia="Arial" w:hAnsi="Arial"/>
          <w:sz w:val="16"/>
          <w:szCs w:val="16"/>
          <w:color w:val="auto"/>
        </w:rPr>
        <w:t>. Subject to Section 11.02, and subject to the provisions of Section 16.01 with respect to the opinions and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bad faith or willful misconduct on the part of the Trustee, be deemed to be conclusively proved and established by an Opinion of Counsel and/or Officers’ Certificate with respect thereto delivered to the Trustee, and such Opinion of Counsel and/or Officers’ Certificate, in the absence of bad faith or willful misconduct on the part of the Trustee, shall be full warrant to the Trustee for any action taken, suffered or omitted by it under the provisions of this Indenture upon the faith thereof.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Communications by Securityholders with Other Securityholders</w:t>
      </w:r>
      <w:r>
        <w:rPr>
          <w:rFonts w:ascii="Arial" w:cs="Arial" w:eastAsia="Arial" w:hAnsi="Arial"/>
          <w:sz w:val="18"/>
          <w:szCs w:val="18"/>
          <w:color w:val="auto"/>
        </w:rPr>
        <w:t>. Holders of Securities may communicate pursuant to</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312(b) of the TIA with other Holders with respect to their rights under this Indenture or the Securities. The Company, the Trustee, the Registrar and anyone else shall have the protection of Section 312(c) of the TIA with respect to such communications.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SATISFACTION AND DISCHARGE; DEFEASANCE</w:t>
      </w:r>
    </w:p>
    <w:p>
      <w:pPr>
        <w:spacing w:after="0" w:line="229" w:lineRule="exact"/>
        <w:rPr>
          <w:sz w:val="20"/>
          <w:szCs w:val="20"/>
          <w:color w:val="auto"/>
        </w:rPr>
      </w:pPr>
    </w:p>
    <w:p>
      <w:pPr>
        <w:ind w:right="340" w:firstLine="440"/>
        <w:spacing w:after="0" w:line="286"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 If, pursuant to Section 3.01, provision is made for the defeasance of Securities of a series and if the Securities of such series are denominated and payable only in U.S. Dollars (except as provided pursuant to Section 3.01), then the provisions of this Article shall be applicable except as otherwise specified pursuant to Section 3.01 for Securities of such series.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jc w:val="both"/>
        <w:ind w:firstLine="987"/>
        <w:spacing w:after="0" w:line="263" w:lineRule="auto"/>
        <w:tabs>
          <w:tab w:leader="none" w:pos="12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Indenture, with respect to the Securities of any series (if all series issued under this Indenture are not to be affected), shall cease to be of further effect (except as to any surviving rights of registration of transfer or exchange of such Securities herein expressly provided for and rights to receive payments of principal of, premium, if any, and interest on, such Securities) when:</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80" w:firstLine="910"/>
        <w:spacing w:after="0" w:line="263" w:lineRule="auto"/>
        <w:tabs>
          <w:tab w:leader="none" w:pos="2177"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all Securities of such series that have been authenticated, except (x) lost, stolen or destroyed Securities that have been replaced or paid and (y) Securities for whose payment money has been deposited in trust and thereafter repaid to the Company, have been delivered to the Paying Agent for cancellation;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137" w:name="page138"/>
    <w:bookmarkEnd w:id="137"/>
    <w:p>
      <w:pPr>
        <w:ind w:left="960" w:right="20" w:firstLine="910"/>
        <w:spacing w:after="0" w:line="287" w:lineRule="auto"/>
        <w:tabs>
          <w:tab w:leader="none" w:pos="2147" w:val="left"/>
        </w:tabs>
        <w:numPr>
          <w:ilvl w:val="2"/>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Securities of such series that have not been delivered to the Paying Agent for cancellation have become due and payable by reason of the mailing of a notice of redemption or otherwise or will become due and payable within one year and the Company has irrevocably deposited or caused to be deposited with the Trustee or the Paying Agent as trust funds in trust solely for the benefit of the Holders, cash in U.S. Dollars, U.S. Government Obligation, or a combination of cash in U.S. Dollars and U.S. Government Obligation, in amounts as will be sufficient (in the case of a deposit not entirely in cash, in the opinion of an internationally recognized investment bank, appraisal firm or firm of independent public accountants), without consideration of any reinvestment of interest, to pay and discharge the entire Indebtedness on such Securities not delivered to the Paying Agent for cancellation for principal, premium, if any, and accrued interest to the Stated Maturity or Redemption Date,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 petition for relief under the Bankruptcy Code or any applicable state bankruptcy, insolvency or other similar law is filed with respect to the Company within 91 days after the deposit and the Trustee or the Paying Agent (as the case may be) is required to return the moneys then on deposit with the Trustee or the Paying Agent (as the case may be) to the Company, the obligations of the Company under this Indenture with respect to such Securities shall not be deemed terminated or discharged;</w:t>
      </w:r>
    </w:p>
    <w:p>
      <w:pPr>
        <w:spacing w:after="0" w:line="59" w:lineRule="exact"/>
        <w:rPr>
          <w:rFonts w:ascii="Arial" w:cs="Arial" w:eastAsia="Arial" w:hAnsi="Arial"/>
          <w:sz w:val="16"/>
          <w:szCs w:val="16"/>
          <w:color w:val="auto"/>
        </w:rPr>
      </w:pPr>
    </w:p>
    <w:p>
      <w:pPr>
        <w:ind w:left="420" w:firstLine="948"/>
        <w:spacing w:after="0" w:line="286" w:lineRule="auto"/>
        <w:tabs>
          <w:tab w:leader="none" w:pos="163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no Default or Event of Default under this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is a party or by which it is bound;</w:t>
      </w:r>
    </w:p>
    <w:p>
      <w:pPr>
        <w:spacing w:after="0" w:line="57" w:lineRule="exact"/>
        <w:rPr>
          <w:rFonts w:ascii="Arial" w:cs="Arial" w:eastAsia="Arial" w:hAnsi="Arial"/>
          <w:sz w:val="17"/>
          <w:szCs w:val="17"/>
          <w:color w:val="auto"/>
        </w:rPr>
      </w:pPr>
    </w:p>
    <w:p>
      <w:pPr>
        <w:ind w:left="1680" w:hanging="312"/>
        <w:spacing w:after="0"/>
        <w:tabs>
          <w:tab w:leader="none" w:pos="168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Company has paid or caused to be paid all sums payable by it under this Indenture with respect to all Securities of such</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series; and</w:t>
      </w:r>
    </w:p>
    <w:p>
      <w:pPr>
        <w:spacing w:after="0" w:line="102" w:lineRule="exact"/>
        <w:rPr>
          <w:rFonts w:ascii="Arial" w:cs="Arial" w:eastAsia="Arial" w:hAnsi="Arial"/>
          <w:sz w:val="17"/>
          <w:szCs w:val="17"/>
          <w:color w:val="auto"/>
        </w:rPr>
      </w:pPr>
    </w:p>
    <w:p>
      <w:pPr>
        <w:jc w:val="both"/>
        <w:ind w:left="420" w:right="80" w:firstLine="948"/>
        <w:spacing w:after="0" w:line="342" w:lineRule="auto"/>
        <w:tabs>
          <w:tab w:leader="none" w:pos="167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Company has delivered irrevocable instructions to the Trustee or the Paying Agent (as the case may be) under this Indenture to apply the deposited money toward the payment of the Securities of such series at the Stated Maturity or Redemption Date, as the case may be.</w:t>
      </w:r>
    </w:p>
    <w:p>
      <w:pPr>
        <w:spacing w:after="0" w:line="15" w:lineRule="exact"/>
        <w:rPr>
          <w:rFonts w:ascii="Arial" w:cs="Arial" w:eastAsia="Arial" w:hAnsi="Arial"/>
          <w:sz w:val="16"/>
          <w:szCs w:val="16"/>
          <w:color w:val="auto"/>
        </w:rPr>
      </w:pPr>
    </w:p>
    <w:p>
      <w:pPr>
        <w:ind w:left="-20" w:right="600" w:firstLine="987"/>
        <w:spacing w:after="0" w:line="342" w:lineRule="auto"/>
        <w:tabs>
          <w:tab w:leader="none" w:pos="122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 shall deliver an Officers’ Certificate and an opinion of External Legal Counsel (which opinion may be subject to customary assumptions and exclusions) to the Trustee stating that all conditions precedent to satisfaction and discharge have been satisfied.</w:t>
      </w:r>
    </w:p>
    <w:p>
      <w:pPr>
        <w:spacing w:after="0" w:line="15" w:lineRule="exact"/>
        <w:rPr>
          <w:rFonts w:ascii="Arial" w:cs="Arial" w:eastAsia="Arial" w:hAnsi="Arial"/>
          <w:sz w:val="16"/>
          <w:szCs w:val="16"/>
          <w:color w:val="auto"/>
        </w:rPr>
      </w:pPr>
    </w:p>
    <w:p>
      <w:pPr>
        <w:ind w:left="-20" w:right="80" w:firstLine="987"/>
        <w:spacing w:after="0" w:line="263" w:lineRule="auto"/>
        <w:tabs>
          <w:tab w:leader="none" w:pos="121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Notwithstanding the satisfaction and discharge of this Indenture, if money shall have been deposited with the Trustee or the Paying Agent (as the case may be) pursuant to subclause (A)(y) of clause (i) of Section 12.02(a), the obligations of the Trustee or the Paying Agent (as the case may be) under Section 12.07 and Section 6.03(e) shall survive such satisfaction and discharge.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Defeasance upon Deposit of Moneys or U.S. Government Obligations.</w:t>
      </w:r>
    </w:p>
    <w:p>
      <w:pPr>
        <w:spacing w:after="0" w:line="117" w:lineRule="exact"/>
        <w:rPr>
          <w:sz w:val="20"/>
          <w:szCs w:val="20"/>
          <w:color w:val="auto"/>
        </w:rPr>
      </w:pPr>
    </w:p>
    <w:p>
      <w:pPr>
        <w:ind w:left="-20" w:right="280" w:firstLine="987"/>
        <w:spacing w:after="0" w:line="277" w:lineRule="auto"/>
        <w:tabs>
          <w:tab w:leader="none" w:pos="121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may, at its option and at any time, elect to have either Section 12.03(b) or Section 12.03(c) applied to all Outstanding Securities of any series upon compliance with the conditions set forth below in this Section 12.03.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60" w:top="274" w:right="459" w:bottom="1440" w:gutter="0" w:footer="0" w:header="0"/>
        </w:sectPr>
      </w:pPr>
    </w:p>
    <w:bookmarkStart w:id="138" w:name="page139"/>
    <w:bookmarkEnd w:id="138"/>
    <w:p>
      <w:pPr>
        <w:jc w:val="both"/>
        <w:ind w:right="100" w:firstLine="987"/>
        <w:spacing w:after="0" w:line="255" w:lineRule="auto"/>
        <w:tabs>
          <w:tab w:leader="none" w:pos="12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Company’s exercise under Section 12.03(a) of the option applicable to this Section 12.03(b), the Company shall, subject to the satisfaction of the conditions set forth in Section 12.03(d), be deemed to have been Discharged from its obligations with respect to all Outstanding Securities of such series on the date such conditions are satisfied (“</w:t>
      </w:r>
      <w:r>
        <w:rPr>
          <w:rFonts w:ascii="Arial" w:cs="Arial" w:eastAsia="Arial" w:hAnsi="Arial"/>
          <w:sz w:val="18"/>
          <w:szCs w:val="18"/>
          <w:u w:val="single" w:color="auto"/>
          <w:color w:val="auto"/>
        </w:rPr>
        <w:t>Legal Defeasance</w:t>
      </w:r>
      <w:r>
        <w:rPr>
          <w:rFonts w:ascii="Arial" w:cs="Arial" w:eastAsia="Arial" w:hAnsi="Arial"/>
          <w:sz w:val="18"/>
          <w:szCs w:val="18"/>
          <w:color w:val="auto"/>
        </w:rPr>
        <w:t>”). For this purpose, “</w:t>
      </w:r>
      <w:r>
        <w:rPr>
          <w:rFonts w:ascii="Arial" w:cs="Arial" w:eastAsia="Arial" w:hAnsi="Arial"/>
          <w:sz w:val="18"/>
          <w:szCs w:val="18"/>
          <w:u w:val="single" w:color="auto"/>
          <w:color w:val="auto"/>
        </w:rPr>
        <w:t>Legal Defeasance</w:t>
      </w:r>
      <w:r>
        <w:rPr>
          <w:rFonts w:ascii="Arial" w:cs="Arial" w:eastAsia="Arial" w:hAnsi="Arial"/>
          <w:sz w:val="18"/>
          <w:szCs w:val="18"/>
          <w:color w:val="auto"/>
        </w:rPr>
        <w:t>” means that the Company shall be deemed to have paid and Discharged the entire Indebtedness represented by the Securities of such series then Outstanding and to have satisfied all of its other obligations under the Securities of such series and this Indenture, except for the following provisions which shall survive until otherwise terminated or discharged hereunder:</w:t>
      </w:r>
    </w:p>
    <w:p>
      <w:pPr>
        <w:spacing w:after="0" w:line="84" w:lineRule="exact"/>
        <w:rPr>
          <w:rFonts w:ascii="Arial" w:cs="Arial" w:eastAsia="Arial" w:hAnsi="Arial"/>
          <w:sz w:val="18"/>
          <w:szCs w:val="18"/>
          <w:color w:val="auto"/>
        </w:rPr>
      </w:pPr>
    </w:p>
    <w:p>
      <w:pPr>
        <w:ind w:left="440" w:right="20" w:firstLine="948"/>
        <w:spacing w:after="0" w:line="277" w:lineRule="auto"/>
        <w:tabs>
          <w:tab w:leader="none" w:pos="160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rights of Holders of the Securities of such series then Outstanding to receive payments in respect of the principal of, or interest or premium on the Securities when such payments are due from the trust referred to in Section 12.03(d);</w:t>
      </w:r>
    </w:p>
    <w:p>
      <w:pPr>
        <w:spacing w:after="0" w:line="62" w:lineRule="exact"/>
        <w:rPr>
          <w:rFonts w:ascii="Arial" w:cs="Arial" w:eastAsia="Arial" w:hAnsi="Arial"/>
          <w:sz w:val="18"/>
          <w:szCs w:val="18"/>
          <w:color w:val="auto"/>
        </w:rPr>
      </w:pPr>
    </w:p>
    <w:p>
      <w:pPr>
        <w:ind w:left="440" w:right="40" w:firstLine="948"/>
        <w:spacing w:after="0" w:line="277" w:lineRule="auto"/>
        <w:tabs>
          <w:tab w:leader="none" w:pos="165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Company’s obligations concerning issuing temporary Securities, registration of Securities, mutilated, destroyed, lost or stolen Securities and the maintenance of an office or agency for payment and money for security payments held in trust;</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128" w:lineRule="exact"/>
        <w:rPr>
          <w:rFonts w:ascii="Arial" w:cs="Arial" w:eastAsia="Arial" w:hAnsi="Arial"/>
          <w:sz w:val="17"/>
          <w:szCs w:val="17"/>
          <w:color w:val="auto"/>
        </w:rPr>
      </w:pPr>
    </w:p>
    <w:p>
      <w:pPr>
        <w:ind w:left="1700" w:hanging="312"/>
        <w:spacing w:after="0"/>
        <w:tabs>
          <w:tab w:leader="none" w:pos="17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this Section 12.03(b) and Section 12.03(c) with respect to the Securities of such series.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Following the Company’s exercise of its Legal Defeasance option, payment of the Securities of such series may not be accelerated because of an Event of Default. Subject to compliance with this Article XII, the Company may exercise its option under this Section 12.03(b) notwithstanding the prior exercise of its option under Section 12.03(c).</w:t>
      </w:r>
    </w:p>
    <w:p>
      <w:pPr>
        <w:spacing w:after="0" w:line="184"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Discharged</w:t>
      </w:r>
      <w:r>
        <w:rPr>
          <w:rFonts w:ascii="Arial" w:cs="Arial" w:eastAsia="Arial" w:hAnsi="Arial"/>
          <w:sz w:val="17"/>
          <w:szCs w:val="17"/>
          <w:color w:val="auto"/>
        </w:rPr>
        <w:t>” means that the Company shall be deemed to have paid and discharged the entire Indebtedness represented by, and obligations under, the Securities of a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(i) of 12.03(d), payment of the principal of, premium, if any, or interest on such Securities when such payments are due, (B) the Company’s obligations with respect to Securities of such series under Sections 3.04, 3.06, 3.07, 6.02, 6.03, 12.06 and 12.07 and (C) the rights, powers, trusts, duties and immunities of the Trustee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139" w:name="page140"/>
    <w:bookmarkEnd w:id="139"/>
    <w:p>
      <w:pPr>
        <w:ind w:right="20" w:firstLine="987"/>
        <w:spacing w:after="0" w:line="283" w:lineRule="auto"/>
        <w:tabs>
          <w:tab w:leader="none" w:pos="1236"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Company’s exercise under Section 12.03(a) of the option applicable to this Section 12.03(c), the Company shall, subject to the satisfaction of the conditions set forth in Section 12.03(d), be released from its obligations under the covenants contained in Section 6.04, Section 6.06 and as provided pursuant to Section 3.01(x), on and after the date the conditions set forth in Section 12.03(d) are satisfied (“</w:t>
      </w:r>
      <w:r>
        <w:rPr>
          <w:rFonts w:ascii="Arial" w:cs="Arial" w:eastAsia="Arial" w:hAnsi="Arial"/>
          <w:sz w:val="16"/>
          <w:szCs w:val="16"/>
          <w:u w:val="single" w:color="auto"/>
          <w:color w:val="auto"/>
        </w:rPr>
        <w:t>Covenant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Defeasance</w:t>
      </w:r>
      <w:r>
        <w:rPr>
          <w:rFonts w:ascii="Arial" w:cs="Arial" w:eastAsia="Arial" w:hAnsi="Arial"/>
          <w:sz w:val="16"/>
          <w:szCs w:val="16"/>
          <w:color w:val="auto"/>
        </w:rPr>
        <w:t>”). For this purpose,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means that, with respect to this Indenture and the Securities of such Series then Outstanding,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but, except as specified above, the remainder of this Indenture and the Securities shall be unaffected thereby. In addition, upon the Company’s exercise under Section 12.03(a) of the option applicable to this Section 12.03(c), subject to the satisfaction of the conditions set forth in Section 12.03(d), Sections</w:t>
      </w:r>
    </w:p>
    <w:p>
      <w:pPr>
        <w:spacing w:after="0" w:line="5" w:lineRule="exact"/>
        <w:rPr>
          <w:rFonts w:ascii="Arial" w:cs="Arial" w:eastAsia="Arial" w:hAnsi="Arial"/>
          <w:sz w:val="16"/>
          <w:szCs w:val="16"/>
          <w:color w:val="auto"/>
        </w:rPr>
      </w:pPr>
    </w:p>
    <w:p>
      <w:pPr>
        <w:ind w:right="260"/>
        <w:spacing w:after="0" w:line="260" w:lineRule="auto"/>
        <w:rPr>
          <w:rFonts w:ascii="Arial" w:cs="Arial" w:eastAsia="Arial" w:hAnsi="Arial"/>
          <w:sz w:val="16"/>
          <w:szCs w:val="16"/>
          <w:color w:val="auto"/>
        </w:rPr>
      </w:pPr>
      <w:r>
        <w:rPr>
          <w:rFonts w:ascii="Arial" w:cs="Arial" w:eastAsia="Arial" w:hAnsi="Arial"/>
          <w:sz w:val="18"/>
          <w:szCs w:val="18"/>
          <w:color w:val="auto"/>
        </w:rPr>
        <w:t>7.01(c), 7.01(d) (only with respect to covenants that are released as a result of such Covenant Defeasance), 7.01(e) and 7.01(f), in each case, shall not constitute Events of Default.</w:t>
      </w:r>
    </w:p>
    <w:p>
      <w:pPr>
        <w:spacing w:after="0" w:line="77" w:lineRule="exact"/>
        <w:rPr>
          <w:rFonts w:ascii="Arial" w:cs="Arial" w:eastAsia="Arial" w:hAnsi="Arial"/>
          <w:sz w:val="16"/>
          <w:szCs w:val="16"/>
          <w:color w:val="auto"/>
        </w:rPr>
      </w:pPr>
    </w:p>
    <w:p>
      <w:pPr>
        <w:ind w:right="340" w:firstLine="987"/>
        <w:spacing w:after="0" w:line="277" w:lineRule="auto"/>
        <w:tabs>
          <w:tab w:leader="none" w:pos="12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following shall be the conditions to the exercise of either the Legal Defeasance option under Section 12.03(b) or the Covenant Defeasance option under Section 12.03(c):</w:t>
      </w:r>
    </w:p>
    <w:p>
      <w:pPr>
        <w:spacing w:after="0" w:line="62" w:lineRule="exact"/>
        <w:rPr>
          <w:rFonts w:ascii="Arial" w:cs="Arial" w:eastAsia="Arial" w:hAnsi="Arial"/>
          <w:sz w:val="18"/>
          <w:szCs w:val="18"/>
          <w:color w:val="auto"/>
        </w:rPr>
      </w:pPr>
    </w:p>
    <w:p>
      <w:pPr>
        <w:ind w:left="440" w:firstLine="948"/>
        <w:spacing w:after="0" w:line="255" w:lineRule="auto"/>
        <w:tabs>
          <w:tab w:leader="none" w:pos="160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or the Paying Agent as trust funds, in trust, for the benefit of the Holders of all Securities subject to Legal Defeasance or Covenant Defeasance, cash in U.S. Dollars, U.S. Government Obligation, or a combination of cash in U.S. Dollars and U.S. Government Obligation, in amounts as will be sufficient, in the opinion of a nationally recognized investment bank, appraisal firm or firm of independent public accountants to pay the principal of, or interest and premium on such Securities that are then Outstanding on the Stated Maturity or Redemption Date, as the case may be, and the Company must specify whether such Securities are being defeased to maturity or to a particular Redemption Date;</w:t>
      </w:r>
    </w:p>
    <w:p>
      <w:pPr>
        <w:spacing w:after="0" w:line="84" w:lineRule="exact"/>
        <w:rPr>
          <w:rFonts w:ascii="Arial" w:cs="Arial" w:eastAsia="Arial" w:hAnsi="Arial"/>
          <w:sz w:val="18"/>
          <w:szCs w:val="18"/>
          <w:color w:val="auto"/>
        </w:rPr>
      </w:pPr>
    </w:p>
    <w:p>
      <w:pPr>
        <w:ind w:left="440" w:right="40" w:firstLine="948"/>
        <w:spacing w:after="0" w:line="272" w:lineRule="auto"/>
        <w:tabs>
          <w:tab w:leader="none" w:pos="1657" w:val="left"/>
        </w:tabs>
        <w:numPr>
          <w:ilvl w:val="1"/>
          <w:numId w:val="148"/>
        </w:numPr>
        <w:rPr>
          <w:rFonts w:ascii="Arial" w:cs="Arial" w:eastAsia="Arial" w:hAnsi="Arial"/>
          <w:sz w:val="17"/>
          <w:szCs w:val="17"/>
          <w:color w:val="auto"/>
        </w:rPr>
      </w:pPr>
      <w:r>
        <w:rPr>
          <w:rFonts w:ascii="Arial" w:cs="Arial" w:eastAsia="Arial" w:hAnsi="Arial"/>
          <w:sz w:val="17"/>
          <w:szCs w:val="17"/>
          <w:color w:val="auto"/>
        </w:rPr>
        <w:t>in the case of Legal Defeasance, the Company must deliver to the Trustee an opinion of External Legal Counsel of recognized standing with respect to U.S. federal income tax matters that is acceptable to the Trustee confirming that (A) the Company has received from, or there has been published by, the U.S. Internal Revenue Service a ruling or (B) since the date of this Indenture, there has been a change in the applicable federal income tax law, in either case to the effect that, and based thereon such opinion of External Legal Counsel will confirm that, the beneficial owners of the Securities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69" w:lineRule="exact"/>
        <w:rPr>
          <w:rFonts w:ascii="Arial" w:cs="Arial" w:eastAsia="Arial" w:hAnsi="Arial"/>
          <w:sz w:val="17"/>
          <w:szCs w:val="17"/>
          <w:color w:val="auto"/>
        </w:rPr>
      </w:pPr>
    </w:p>
    <w:p>
      <w:pPr>
        <w:ind w:left="440" w:right="40" w:firstLine="948"/>
        <w:spacing w:after="0" w:line="257" w:lineRule="auto"/>
        <w:tabs>
          <w:tab w:leader="none" w:pos="170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case of Covenant Defeasance, the Company must deliver to the Trustee an opinion of External Legal Counsel of recognized standing with respect to U.S. federal income tax matters that is acceptable to the Trustee confirming that the beneficial owners of the Securities of such series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40" w:name="page141"/>
    <w:bookmarkEnd w:id="140"/>
    <w:p>
      <w:pPr>
        <w:ind w:left="440" w:right="100" w:firstLine="948"/>
        <w:spacing w:after="0" w:line="277" w:lineRule="auto"/>
        <w:tabs>
          <w:tab w:leader="none" w:pos="1697"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Default or Event of Default must have occurred and be continuing on the date of such deposit (other than a Default or Event of Default resulting from the borrowing of funds to be applied to such deposit);</w:t>
      </w:r>
    </w:p>
    <w:p>
      <w:pPr>
        <w:spacing w:after="0" w:line="62" w:lineRule="exact"/>
        <w:rPr>
          <w:rFonts w:ascii="Arial" w:cs="Arial" w:eastAsia="Arial" w:hAnsi="Arial"/>
          <w:sz w:val="18"/>
          <w:szCs w:val="18"/>
          <w:color w:val="auto"/>
        </w:rPr>
      </w:pPr>
    </w:p>
    <w:p>
      <w:pPr>
        <w:ind w:left="440" w:firstLine="948"/>
        <w:spacing w:after="0" w:line="263" w:lineRule="auto"/>
        <w:tabs>
          <w:tab w:leader="none" w:pos="16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it with the intent of preferring the Holders of Securities over the Company’s other creditors with the intent of defeating, hindering, delaying or defrauding its creditors or others; and</w:t>
      </w:r>
    </w:p>
    <w:p>
      <w:pPr>
        <w:spacing w:after="0" w:line="75" w:lineRule="exact"/>
        <w:rPr>
          <w:rFonts w:ascii="Arial" w:cs="Arial" w:eastAsia="Arial" w:hAnsi="Arial"/>
          <w:sz w:val="18"/>
          <w:szCs w:val="18"/>
          <w:color w:val="auto"/>
        </w:rPr>
      </w:pPr>
    </w:p>
    <w:p>
      <w:pPr>
        <w:ind w:left="440" w:right="80" w:firstLine="948"/>
        <w:spacing w:after="0" w:line="277" w:lineRule="auto"/>
        <w:tabs>
          <w:tab w:leader="none" w:pos="169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External Legal Counsel, each stating that all conditions precedent relating to the Legal Defeasance or the Covenant Defeasance have been complied with.</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u w:val="single" w:color="auto"/>
          <w:color w:val="auto"/>
        </w:rPr>
        <w:t>Repayment to Company</w:t>
      </w:r>
      <w:r>
        <w:rPr>
          <w:rFonts w:ascii="Arial" w:cs="Arial" w:eastAsia="Arial" w:hAnsi="Arial"/>
          <w:sz w:val="16"/>
          <w:szCs w:val="16"/>
          <w:color w:val="auto"/>
        </w:rPr>
        <w:t>. The Trustee and any Paying Agent shall promptly pay to the Company (or to its designee) upon Company Order any excess moneys or U.S. Government Obligations held by them at any time, including any such moneys or U.S. Government Obligations held by the Trustee under any escrow trust agreement entered into pursuant to Section 12.06. The provisions of the last paragraph of Section 6.03 shall apply to any moneys or U.S. Government Obligations held by the Trustee or any Paying Agent under this Article that remains unclaimed for two years after the Maturity of any series of Securities for which moneys or U.S. Government Obligations have been deposited pursuant to Section 12.03.</w:t>
      </w:r>
    </w:p>
    <w:p>
      <w:pPr>
        <w:spacing w:after="0" w:line="16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Indemnity for U.S. Government Obligations</w:t>
      </w:r>
      <w:r>
        <w:rPr>
          <w:rFonts w:ascii="Arial" w:cs="Arial" w:eastAsia="Arial" w:hAnsi="Arial"/>
          <w:sz w:val="18"/>
          <w:szCs w:val="18"/>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84"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12.06 </w:t>
      </w:r>
      <w:r>
        <w:rPr>
          <w:rFonts w:ascii="Arial" w:cs="Arial" w:eastAsia="Arial" w:hAnsi="Arial"/>
          <w:sz w:val="17"/>
          <w:szCs w:val="17"/>
          <w:u w:val="single" w:color="auto"/>
          <w:color w:val="auto"/>
        </w:rPr>
        <w:t>Deposits to Be Held in Escrow</w:t>
      </w:r>
      <w:r>
        <w:rPr>
          <w:rFonts w:ascii="Arial" w:cs="Arial" w:eastAsia="Arial" w:hAnsi="Arial"/>
          <w:sz w:val="17"/>
          <w:szCs w:val="17"/>
          <w:color w:val="auto"/>
        </w:rPr>
        <w:t>. Any deposits with the Trustee referred to in Section 12.03 above shall be irrevocable (except to the extent provided in Sections 12.04 and 12.07) and shall be made under the terms of an escrow trust agreement. As contemplated under this Article 12,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 The agreement shall provide that, upon satisfaction of any Mandatory Sinking Fund Payment requirements, whether by deposit of moneys, application of proceeds of deposited U.S. Government Obligations or, if permitted, by delivery of Securities, the Trustee shall pay or deliver over to the Company as excess moneys pursuant to Section 12.04 all funds or obligations then held under the agreement and allocable to the sinking fund payment requirements so satisfied.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440" w:top="274" w:right="499" w:bottom="1440" w:gutter="0" w:footer="0" w:header="0"/>
        </w:sectPr>
      </w:pPr>
    </w:p>
    <w:bookmarkStart w:id="141" w:name="page142"/>
    <w:bookmarkEnd w:id="141"/>
    <w:p>
      <w:pPr>
        <w:ind w:right="6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Securities of a series with respect to which such deposits are made may be subject to later redemption at the option of the Company or pursuant to Optional Sinking Fund Payments, the applicable escrow trust agreement may, at the option of the Company, provide therefor. In the case of an optional redemption in whole or in part, such agreement shall require the Company to deposit with the Trustee on or before the date notice of redemption is given funds sufficient to pay the Redemption Price of the Securities to be redeemed together with all unpaid interest thereon to the Redemption Date. Upon such deposit of funds, the Trustee shall pay or deliver over to the Company as excess funds pursuant to Section 12.04 all funds or obligations then held under such agreement and allocable to the Securities to be redeemed. In the case of exercise of Optional Sinking Fund Payment rights by the Company, such agreement shall, at the option of the Company, provide that upon deposit by the Company with the Trustee of funds pursuant to such exercise the Trustee shall pay or deliver over to the Company as excess funds pursuant to Section 12.04 all funds or obligations then held under such agreement for such series and allocable to the Securities to be redeemed.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Neither the Trustee nor any other paying agent shall be required to pay interest on any moneys deposited pursuant to the provisions of this Indenture, except such as it shall agree with the Company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applied as provided in Section 6.03(e).</w:t>
      </w:r>
    </w:p>
    <w:p>
      <w:pPr>
        <w:spacing w:after="0" w:line="79" w:lineRule="exact"/>
        <w:rPr>
          <w:rFonts w:ascii="Arial" w:cs="Arial" w:eastAsia="Arial" w:hAnsi="Arial"/>
          <w:sz w:val="18"/>
          <w:szCs w:val="18"/>
          <w:color w:val="auto"/>
        </w:rPr>
      </w:pPr>
    </w:p>
    <w:p>
      <w:pPr>
        <w:ind w:right="40" w:firstLine="987"/>
        <w:spacing w:after="0" w:line="275" w:lineRule="auto"/>
        <w:tabs>
          <w:tab w:leader="none" w:pos="124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Subject to the provisions of clause (a) above, any moneys or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or U.S. Government Obligations shall have been deposited;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moneys or U.S. Government Obligations need not be segregated from other funds except to the extent required by law.</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IMMUNITY OF CERTAIN PERSONS</w:t>
      </w:r>
    </w:p>
    <w:p>
      <w:pPr>
        <w:spacing w:after="0" w:line="22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No Personal Liability</w:t>
      </w:r>
      <w:r>
        <w:rPr>
          <w:rFonts w:ascii="Arial" w:cs="Arial" w:eastAsia="Arial" w:hAnsi="Arial"/>
          <w:sz w:val="16"/>
          <w:szCs w:val="16"/>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thereto, either directly or through the Company or any successor thereto,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thereto,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142" w:name="page143"/>
    <w:bookmarkEnd w:id="1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29"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Without Consent of Securityholders</w:t>
      </w:r>
      <w:r>
        <w:rPr>
          <w:rFonts w:ascii="Arial" w:cs="Arial" w:eastAsia="Arial" w:hAnsi="Arial"/>
          <w:sz w:val="18"/>
          <w:szCs w:val="18"/>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76" w:lineRule="exact"/>
        <w:rPr>
          <w:sz w:val="20"/>
          <w:szCs w:val="20"/>
          <w:color w:val="auto"/>
        </w:rPr>
      </w:pPr>
    </w:p>
    <w:p>
      <w:pPr>
        <w:ind w:right="180" w:firstLine="987"/>
        <w:spacing w:after="0" w:line="277" w:lineRule="auto"/>
        <w:tabs>
          <w:tab w:leader="none" w:pos="12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to cure any ambiguity, omission, defect or inconsistency contained herein or in any supplemental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amendment does not materially and adversely affect the rights of Holders;</w:t>
      </w:r>
    </w:p>
    <w:p>
      <w:pPr>
        <w:spacing w:after="0" w:line="62" w:lineRule="exact"/>
        <w:rPr>
          <w:rFonts w:ascii="Arial" w:cs="Arial" w:eastAsia="Arial" w:hAnsi="Arial"/>
          <w:sz w:val="18"/>
          <w:szCs w:val="18"/>
          <w:color w:val="auto"/>
        </w:rPr>
      </w:pPr>
    </w:p>
    <w:p>
      <w:pPr>
        <w:ind w:firstLine="987"/>
        <w:spacing w:after="0" w:line="342" w:lineRule="auto"/>
        <w:tabs>
          <w:tab w:leader="none" w:pos="124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evidence the succession of another corporation to the Company, or successive successions, and the assumption by such successor of the covenants and obligations of the Company contained in the Securities of one or more series and in this Indenture or any supplemental indenture;</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comply with the rules of any applicable Depositary;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117" w:lineRule="exact"/>
        <w:rPr>
          <w:rFonts w:ascii="Arial" w:cs="Arial" w:eastAsia="Arial" w:hAnsi="Arial"/>
          <w:sz w:val="18"/>
          <w:szCs w:val="18"/>
          <w:color w:val="auto"/>
        </w:rPr>
      </w:pPr>
    </w:p>
    <w:p>
      <w:pPr>
        <w:ind w:right="100" w:firstLine="987"/>
        <w:spacing w:after="0" w:line="257" w:lineRule="auto"/>
        <w:tabs>
          <w:tab w:leader="none" w:pos="12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79" w:lineRule="exact"/>
        <w:rPr>
          <w:rFonts w:ascii="Arial" w:cs="Arial" w:eastAsia="Arial" w:hAnsi="Arial"/>
          <w:sz w:val="18"/>
          <w:szCs w:val="18"/>
          <w:color w:val="auto"/>
        </w:rPr>
      </w:pPr>
    </w:p>
    <w:p>
      <w:pPr>
        <w:ind w:firstLine="987"/>
        <w:spacing w:after="0" w:line="277" w:lineRule="auto"/>
        <w:tabs>
          <w:tab w:leader="none" w:pos="121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make any change in any series of Securities that does not adversely affect the legal rights under this Indenture of any Holder of such Securities in any material respect;</w:t>
      </w:r>
    </w:p>
    <w:p>
      <w:pPr>
        <w:spacing w:after="0" w:line="62"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to evidence and provide for the acceptance of an appointment under this Indenture of a successor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successor Trustee is otherwise qualified and eligible to act as such under the terms hereof;</w:t>
      </w:r>
    </w:p>
    <w:p>
      <w:pPr>
        <w:spacing w:after="0" w:line="62"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conform the text of this Indenture or any series of the Securities to any provision of the section entitled “Description of Debt Securities” in the Prospectus to the extent that such provision in the Prospectus was intended to be a verbatim recitation of a provision of this Indenture or such series of the Securities as evidenced by an Officers’ Certificate;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20"/>
          </w:cols>
          <w:pgMar w:left="440" w:top="270" w:right="539" w:bottom="1440" w:gutter="0" w:footer="0" w:header="0"/>
        </w:sectPr>
      </w:pPr>
    </w:p>
    <w:bookmarkStart w:id="143" w:name="page144"/>
    <w:bookmarkEnd w:id="143"/>
    <w:p>
      <w:pPr>
        <w:ind w:right="100" w:firstLine="987"/>
        <w:spacing w:after="0" w:line="275" w:lineRule="auto"/>
        <w:tabs>
          <w:tab w:leader="none" w:pos="1206"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make any amendment to the provisions of this Indenture relating to the transfer and legending of Securities as permitted by this Indenture, including, but not limited to, facilitating the issuance and administration of any series of the Securities or, if incurred in compliance with this Indenture, additional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compliance with this Indenture as so amended would not result in any series of the Securities being transferred in violation of the U.S. Securities Act of 1933, as amended, or any applicable securities law and (ii) such amendment does not materially and adversely affect the rights of Holders to transfer Securities;</w:t>
      </w:r>
    </w:p>
    <w:p>
      <w:pPr>
        <w:spacing w:after="0" w:line="68" w:lineRule="exact"/>
        <w:rPr>
          <w:rFonts w:ascii="Arial" w:cs="Arial" w:eastAsia="Arial" w:hAnsi="Arial"/>
          <w:sz w:val="17"/>
          <w:szCs w:val="17"/>
          <w:color w:val="auto"/>
        </w:rPr>
      </w:pPr>
    </w:p>
    <w:p>
      <w:pPr>
        <w:ind w:right="40" w:firstLine="987"/>
        <w:spacing w:after="0" w:line="263" w:lineRule="auto"/>
        <w:tabs>
          <w:tab w:leader="none" w:pos="120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make any amendment to this Indenture necessary to qualify this Indenture under the Trust Indenture Act;</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 and</w:t>
      </w:r>
    </w:p>
    <w:p>
      <w:pPr>
        <w:spacing w:after="0" w:line="117" w:lineRule="exact"/>
        <w:rPr>
          <w:rFonts w:ascii="Arial" w:cs="Arial" w:eastAsia="Arial" w:hAnsi="Arial"/>
          <w:sz w:val="18"/>
          <w:szCs w:val="18"/>
          <w:color w:val="auto"/>
        </w:rPr>
      </w:pPr>
    </w:p>
    <w:p>
      <w:pPr>
        <w:ind w:right="160" w:firstLine="987"/>
        <w:spacing w:after="0" w:line="259" w:lineRule="auto"/>
        <w:tabs>
          <w:tab w:leader="none" w:pos="129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establish the form and terms of Securities of any series as permitted in Section 3.01, or to provide for the issuance of additional Securities in accordance with the limitations set forth in this Indenture,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8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Any supplemental indenture authorized by the provisions of this Section 14.01 may be executed by the Company and the Trustee without the consent of the Holders of any of the Securities at the time Outstanding, notwithstanding any of the provisions of Section 14.02.</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With Consent of Securityholders; Limitations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6" w:lineRule="auto"/>
        <w:tabs>
          <w:tab w:leader="none" w:pos="123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supplemental indenture shall, without the consent of the Holder of each Outstanding Security of each such series affected thereby,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144" w:name="page145"/>
    <w:bookmarkEnd w:id="144"/>
    <w:p>
      <w:pPr>
        <w:ind w:left="1580" w:hanging="212"/>
        <w:spacing w:after="0"/>
        <w:tabs>
          <w:tab w:leader="none" w:pos="15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the Stated Maturity of the principal of and premium, if any, or any installment of interest on any Security;</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reduce the principal amount of, payments of interest on or stated time for payment of interest on any Security;</w:t>
      </w:r>
    </w:p>
    <w:p>
      <w:pPr>
        <w:spacing w:after="0" w:line="117" w:lineRule="exact"/>
        <w:rPr>
          <w:rFonts w:ascii="Arial" w:cs="Arial" w:eastAsia="Arial" w:hAnsi="Arial"/>
          <w:sz w:val="18"/>
          <w:szCs w:val="18"/>
          <w:color w:val="auto"/>
        </w:rPr>
      </w:pPr>
    </w:p>
    <w:p>
      <w:pPr>
        <w:ind w:left="1680" w:hanging="312"/>
        <w:spacing w:after="0"/>
        <w:tabs>
          <w:tab w:leader="none" w:pos="16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change any obligation of the Company to pay Additional Amounts with respect to any Security;</w:t>
      </w:r>
    </w:p>
    <w:p>
      <w:pPr>
        <w:spacing w:after="0" w:line="117" w:lineRule="exact"/>
        <w:rPr>
          <w:rFonts w:ascii="Arial" w:cs="Arial" w:eastAsia="Arial" w:hAnsi="Arial"/>
          <w:sz w:val="18"/>
          <w:szCs w:val="18"/>
          <w:color w:val="auto"/>
        </w:rPr>
      </w:pPr>
    </w:p>
    <w:p>
      <w:pPr>
        <w:ind w:left="420" w:right="200" w:firstLine="948"/>
        <w:spacing w:after="0" w:line="277" w:lineRule="auto"/>
        <w:tabs>
          <w:tab w:leader="none" w:pos="167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reduce the amount of the principal of an Original Issue Discount Security that would be due and payable upon a declaration of acceleration of the Maturity thereof pursuant to Section 7.02;</w:t>
      </w:r>
    </w:p>
    <w:p>
      <w:pPr>
        <w:spacing w:after="0" w:line="62" w:lineRule="exact"/>
        <w:rPr>
          <w:rFonts w:ascii="Arial" w:cs="Arial" w:eastAsia="Arial" w:hAnsi="Arial"/>
          <w:sz w:val="18"/>
          <w:szCs w:val="18"/>
          <w:color w:val="auto"/>
        </w:rPr>
      </w:pPr>
    </w:p>
    <w:p>
      <w:pPr>
        <w:ind w:left="1620" w:hanging="252"/>
        <w:spacing w:after="0"/>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with respect to any Security;</w:t>
      </w:r>
    </w:p>
    <w:p>
      <w:pPr>
        <w:spacing w:after="0" w:line="117" w:lineRule="exact"/>
        <w:rPr>
          <w:rFonts w:ascii="Arial" w:cs="Arial" w:eastAsia="Arial" w:hAnsi="Arial"/>
          <w:sz w:val="18"/>
          <w:szCs w:val="18"/>
          <w:color w:val="auto"/>
        </w:rPr>
      </w:pPr>
    </w:p>
    <w:p>
      <w:pPr>
        <w:ind w:left="420" w:right="140" w:firstLine="948"/>
        <w:spacing w:after="0" w:line="277" w:lineRule="auto"/>
        <w:tabs>
          <w:tab w:leader="none" w:pos="167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supplemental indenture;</w:t>
      </w:r>
    </w:p>
    <w:p>
      <w:pPr>
        <w:spacing w:after="0" w:line="62" w:lineRule="exact"/>
        <w:rPr>
          <w:rFonts w:ascii="Arial" w:cs="Arial" w:eastAsia="Arial" w:hAnsi="Arial"/>
          <w:sz w:val="18"/>
          <w:szCs w:val="18"/>
          <w:color w:val="auto"/>
        </w:rPr>
      </w:pPr>
    </w:p>
    <w:p>
      <w:pPr>
        <w:ind w:left="420" w:right="100" w:firstLine="948"/>
        <w:spacing w:after="0" w:line="263" w:lineRule="auto"/>
        <w:tabs>
          <w:tab w:leader="none" w:pos="172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waiver of compliance with certain provisions of this Indenture or certain Defaults hereunder and their consequences provided for in this Indenture;</w:t>
      </w:r>
    </w:p>
    <w:p>
      <w:pPr>
        <w:spacing w:after="0" w:line="75" w:lineRule="exact"/>
        <w:rPr>
          <w:rFonts w:ascii="Arial" w:cs="Arial" w:eastAsia="Arial" w:hAnsi="Arial"/>
          <w:sz w:val="18"/>
          <w:szCs w:val="18"/>
          <w:color w:val="auto"/>
        </w:rPr>
      </w:pPr>
    </w:p>
    <w:p>
      <w:pPr>
        <w:ind w:left="420" w:right="60" w:firstLine="948"/>
        <w:spacing w:after="0" w:line="257" w:lineRule="auto"/>
        <w:tabs>
          <w:tab w:leader="none" w:pos="177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14.02, Section 7.06 or Section 6.08,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w:t>
      </w:r>
      <w:r>
        <w:rPr>
          <w:rFonts w:ascii="Arial" w:cs="Arial" w:eastAsia="Arial" w:hAnsi="Arial"/>
          <w:sz w:val="18"/>
          <w:szCs w:val="18"/>
          <w:u w:val="single" w:color="auto"/>
          <w:color w:val="auto"/>
        </w:rPr>
        <w:t>Trustee</w:t>
      </w:r>
      <w:r>
        <w:rPr>
          <w:rFonts w:ascii="Arial" w:cs="Arial" w:eastAsia="Arial" w:hAnsi="Arial"/>
          <w:sz w:val="18"/>
          <w:szCs w:val="18"/>
          <w:color w:val="auto"/>
        </w:rPr>
        <w:t>” and concomitant changes in this Section 14.02 and Section 6.08, or the deletion of this proviso, in accordance with the requirements of Sections 11.06 and 14.01(g);</w:t>
      </w:r>
    </w:p>
    <w:p>
      <w:pPr>
        <w:spacing w:after="0" w:line="79" w:lineRule="exact"/>
        <w:rPr>
          <w:rFonts w:ascii="Arial" w:cs="Arial" w:eastAsia="Arial" w:hAnsi="Arial"/>
          <w:sz w:val="18"/>
          <w:szCs w:val="18"/>
          <w:color w:val="auto"/>
        </w:rPr>
      </w:pPr>
    </w:p>
    <w:p>
      <w:pPr>
        <w:ind w:left="420" w:firstLine="948"/>
        <w:spacing w:after="0" w:line="277" w:lineRule="auto"/>
        <w:tabs>
          <w:tab w:leader="none" w:pos="167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amend, change or modify any provision of this Indenture or the related definition affecting the ranking of any series of Securities in a manner which adversely affects the Holders of such Securities; or</w:t>
      </w:r>
    </w:p>
    <w:p>
      <w:pPr>
        <w:spacing w:after="0" w:line="62" w:lineRule="exact"/>
        <w:rPr>
          <w:rFonts w:ascii="Arial" w:cs="Arial" w:eastAsia="Arial" w:hAnsi="Arial"/>
          <w:sz w:val="18"/>
          <w:szCs w:val="18"/>
          <w:color w:val="auto"/>
        </w:rPr>
      </w:pPr>
    </w:p>
    <w:p>
      <w:pPr>
        <w:ind w:left="420" w:right="20" w:firstLine="948"/>
        <w:spacing w:after="0" w:line="263" w:lineRule="auto"/>
        <w:tabs>
          <w:tab w:leader="none" w:pos="162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reduce the amount of the premium payable upon the redemption or repurchase of any Security or change the time at which any Security may be redeemed or repurchased as described in Section 4.07 or as provided pursuant to Section 3.01, whether through an amendment or waiver of provisions in the covenants, definitions or otherwise.</w:t>
      </w:r>
    </w:p>
    <w:p>
      <w:pPr>
        <w:spacing w:after="0" w:line="75" w:lineRule="exact"/>
        <w:rPr>
          <w:rFonts w:ascii="Arial" w:cs="Arial" w:eastAsia="Arial" w:hAnsi="Arial"/>
          <w:sz w:val="18"/>
          <w:szCs w:val="18"/>
          <w:color w:val="auto"/>
        </w:rPr>
      </w:pPr>
    </w:p>
    <w:p>
      <w:pPr>
        <w:ind w:left="-20" w:right="160" w:firstLine="987"/>
        <w:spacing w:after="0" w:line="286" w:lineRule="auto"/>
        <w:tabs>
          <w:tab w:leader="none" w:pos="122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60" w:top="274" w:right="479" w:bottom="1440" w:gutter="0" w:footer="0" w:header="0"/>
        </w:sectPr>
      </w:pPr>
    </w:p>
    <w:bookmarkStart w:id="145" w:name="page146"/>
    <w:bookmarkEnd w:id="145"/>
    <w:p>
      <w:pPr>
        <w:ind w:right="100" w:firstLine="987"/>
        <w:spacing w:after="0" w:line="277" w:lineRule="auto"/>
        <w:tabs>
          <w:tab w:leader="none" w:pos="12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shall not be necessary for the consent of the Securityholders under this Section 14.02 to approve the particular form of any proposed supplemental indenture, but it shall be sufficient if such consent shall approve the substance thereof.</w:t>
      </w:r>
    </w:p>
    <w:p>
      <w:pPr>
        <w:spacing w:after="0" w:line="62" w:lineRule="exact"/>
        <w:rPr>
          <w:rFonts w:ascii="Arial" w:cs="Arial" w:eastAsia="Arial" w:hAnsi="Arial"/>
          <w:sz w:val="18"/>
          <w:szCs w:val="18"/>
          <w:color w:val="auto"/>
        </w:rPr>
      </w:pPr>
    </w:p>
    <w:p>
      <w:pPr>
        <w:ind w:right="180" w:firstLine="987"/>
        <w:spacing w:after="0" w:line="308" w:lineRule="auto"/>
        <w:tabs>
          <w:tab w:leader="none" w:pos="124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Company may set a record date pursuant to Section 8.02(e) for purposes of determining the identity of the Holders of each series of Securities entitled to give a written consent or waive compliance by the Company as authorized or permitted by this Section 14.02.</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Promptly after the execution by the Company and the Trustee of any supplemental indenture pursuant to the provisions of this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14.02, the Company shall mail a notice, setting forth in general terms the substance of such supplemental indenture, to the Holders of Securities at their addresses as the same shall then appear in the Register. Any failure of the Company to mail such notice, or any defect therein, shall not, however, in any way impair or affect the validity of any such supplemental indenture.</w:t>
      </w:r>
    </w:p>
    <w:p>
      <w:pPr>
        <w:spacing w:after="0" w:line="19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Trustee Protected</w:t>
      </w:r>
      <w:r>
        <w:rPr>
          <w:rFonts w:ascii="Arial" w:cs="Arial" w:eastAsia="Arial" w:hAnsi="Arial"/>
          <w:sz w:val="18"/>
          <w:szCs w:val="18"/>
          <w:color w:val="auto"/>
        </w:rPr>
        <w:t>. Upon the request of the Company, accompanied by the Officers’ Certificate and Opinion of Counsel required by Section 16.01 stating that the execution of such supplemental indenture to be entered into pursuant to Section 14.01 or Section 14.02 is authorized or permitted by this Indenture,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Opinion of Counsel.</w:t>
      </w:r>
    </w:p>
    <w:p>
      <w:pPr>
        <w:spacing w:after="0" w:line="19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Effect of Execution of Supplemental Indenture</w:t>
      </w:r>
      <w:r>
        <w:rPr>
          <w:rFonts w:ascii="Arial" w:cs="Arial" w:eastAsia="Arial" w:hAnsi="Arial"/>
          <w:sz w:val="17"/>
          <w:szCs w:val="17"/>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8"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u w:val="single" w:color="auto"/>
          <w:color w:val="auto"/>
        </w:rPr>
        <w:t>Notation on or Exchange of Securities</w:t>
      </w:r>
      <w:r>
        <w:rPr>
          <w:rFonts w:ascii="Arial" w:cs="Arial" w:eastAsia="Arial" w:hAnsi="Arial"/>
          <w:sz w:val="17"/>
          <w:szCs w:val="17"/>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146" w:name="page147"/>
    <w:bookmarkEnd w:id="146"/>
    <w:p>
      <w:pPr>
        <w:ind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14.06 </w:t>
      </w:r>
      <w:r>
        <w:rPr>
          <w:rFonts w:ascii="Arial" w:cs="Arial" w:eastAsia="Arial" w:hAnsi="Arial"/>
          <w:sz w:val="18"/>
          <w:szCs w:val="18"/>
          <w:u w:val="single" w:color="auto"/>
          <w:color w:val="auto"/>
        </w:rPr>
        <w:t>Conformity with TIA.</w:t>
      </w:r>
      <w:r>
        <w:rPr>
          <w:rFonts w:ascii="Arial" w:cs="Arial" w:eastAsia="Arial" w:hAnsi="Arial"/>
          <w:sz w:val="18"/>
          <w:szCs w:val="18"/>
          <w:color w:val="auto"/>
        </w:rPr>
        <w:t xml:space="preserve"> Every supplemental indenture executed pursuant to the provisions of this Article shall conform to the requirements of the Trust Indenture Act as then in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u w:val="single" w:color="auto"/>
          <w:color w:val="auto"/>
        </w:rPr>
        <w:t>Agreement to Subordinate</w:t>
      </w:r>
      <w:r>
        <w:rPr>
          <w:rFonts w:ascii="Arial" w:cs="Arial" w:eastAsia="Arial" w:hAnsi="Arial"/>
          <w:sz w:val="16"/>
          <w:szCs w:val="16"/>
          <w:color w:val="auto"/>
        </w:rPr>
        <w:t>. In the event a series of Securities is designated as subordinated pursuant to Section 3.01, and except as otherwise provided in a Company Order, Officers’ Certificate or in one or more indentures supplemental hereto, the Company, for itself, its successors and assigns, covenants and agrees, and each Holder of Securities of such series by his, her or its acceptance thereof, likewise covenants and agrees, that the payment of the principal of, premium, if any, or interest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3.01(p), this Article XV shall have no effect upon such series of Securities.</w:t>
      </w:r>
    </w:p>
    <w:p>
      <w:pPr>
        <w:spacing w:after="0" w:line="16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15.02 </w:t>
      </w:r>
      <w:r>
        <w:rPr>
          <w:rFonts w:ascii="Arial" w:cs="Arial" w:eastAsia="Arial" w:hAnsi="Arial"/>
          <w:sz w:val="17"/>
          <w:szCs w:val="17"/>
          <w:u w:val="single" w:color="auto"/>
          <w:color w:val="auto"/>
        </w:rPr>
        <w:t>Distribution on Dissolution, Liquidation and Reorganization; Subrogation of Securities</w:t>
      </w:r>
      <w:r>
        <w:rPr>
          <w:rFonts w:ascii="Arial" w:cs="Arial" w:eastAsia="Arial" w:hAnsi="Arial"/>
          <w:sz w:val="17"/>
          <w:szCs w:val="17"/>
          <w:color w:val="auto"/>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the Bankruptcy Code or any applicable state bankruptcy laws):</w:t>
      </w:r>
    </w:p>
    <w:p>
      <w:pPr>
        <w:spacing w:after="0" w:line="70" w:lineRule="exact"/>
        <w:rPr>
          <w:sz w:val="20"/>
          <w:szCs w:val="20"/>
          <w:color w:val="auto"/>
        </w:rPr>
      </w:pPr>
    </w:p>
    <w:p>
      <w:pPr>
        <w:ind w:right="100" w:firstLine="987"/>
        <w:spacing w:after="0" w:line="263" w:lineRule="auto"/>
        <w:tabs>
          <w:tab w:leader="none" w:pos="12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premium, if any, or interest thereon before the Holders of the Securities are entitled to receive any payment upon the principal of, premium, if any, or interest on Indebtedness evidenced by the Securities; and</w:t>
      </w:r>
    </w:p>
    <w:p>
      <w:pPr>
        <w:spacing w:after="0" w:line="75" w:lineRule="exact"/>
        <w:rPr>
          <w:rFonts w:ascii="Arial" w:cs="Arial" w:eastAsia="Arial" w:hAnsi="Arial"/>
          <w:sz w:val="18"/>
          <w:szCs w:val="18"/>
          <w:color w:val="auto"/>
        </w:rPr>
      </w:pPr>
    </w:p>
    <w:p>
      <w:pPr>
        <w:ind w:right="180" w:firstLine="987"/>
        <w:spacing w:after="0" w:line="271" w:lineRule="auto"/>
        <w:tabs>
          <w:tab w:leader="none" w:pos="124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payment or distribution of assets of the Company of any kind or character, whether in cash, property or securities, to which the Holders of the Securities or the Trustee would be entitled except for the provisions of this Article XV in respect of the principal of, premium, if any, or interest, on the Securities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premium, if any, or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147" w:name="page148"/>
    <w:bookmarkEnd w:id="147"/>
    <w:p>
      <w:pPr>
        <w:ind w:firstLine="987"/>
        <w:spacing w:after="0" w:line="290" w:lineRule="auto"/>
        <w:tabs>
          <w:tab w:leader="none" w:pos="1236"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notwithstanding the foregoing, any payment or distribution of assets of the Company of any kind or character in respect of the principal of, premium, if any, or interest on Indebtedness evidenced by the Securities, whether in cash, property or securities prohibited by the foregoing, shall be received by the Trustee or the Holders of the Securities before all Senior Indebtedness is paid in full, such payment or distribution shall be paid over, upon and pursuant to the terms of a Company Order to a Responsible Officer of the Trustee, to the holder of such Senior Indebtedness identified in such Company Order or his, her or its representative or representatives or to the trustee or trustees under any indenture identified in such Company Order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57" w:lineRule="exact"/>
        <w:rPr>
          <w:rFonts w:ascii="Arial" w:cs="Arial" w:eastAsia="Arial" w:hAnsi="Arial"/>
          <w:sz w:val="16"/>
          <w:szCs w:val="16"/>
          <w:color w:val="auto"/>
        </w:rPr>
      </w:pPr>
    </w:p>
    <w:p>
      <w:pPr>
        <w:ind w:firstLine="987"/>
        <w:spacing w:after="0" w:line="267" w:lineRule="auto"/>
        <w:tabs>
          <w:tab w:leader="none" w:pos="124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premium, if any, or interest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premium, if any, or interest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15.05,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148" w:name="page149"/>
    <w:bookmarkEnd w:id="148"/>
    <w:p>
      <w:pPr>
        <w:ind w:left="4" w:right="1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15.03 </w:t>
      </w:r>
      <w:r>
        <w:rPr>
          <w:rFonts w:ascii="Arial" w:cs="Arial" w:eastAsia="Arial" w:hAnsi="Arial"/>
          <w:sz w:val="18"/>
          <w:szCs w:val="18"/>
          <w:u w:val="single" w:color="auto"/>
          <w:color w:val="auto"/>
        </w:rPr>
        <w:t>No Payment on Securities in Event of Default on Senior Indebtedness</w:t>
      </w:r>
      <w:r>
        <w:rPr>
          <w:rFonts w:ascii="Arial" w:cs="Arial" w:eastAsia="Arial" w:hAnsi="Arial"/>
          <w:sz w:val="18"/>
          <w:szCs w:val="18"/>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92"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calendar days of such payment of the amounts then due and owing on such Senior Indebtedness and only the amounts specified in such notice to the Trustee shall be paid to the holders of such Senior Indebtedness and it has received a written notice from the Company pursuant to Section 15.06 hereof that verifies the notice from the holders of the Senior Indebtedness and confirms that payments subject to such notice are prohibited under this Article XV and to instruct the Trustee to make the payments as provided for in such Company Order.</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Payments on Securities Permitted</w:t>
      </w:r>
      <w:r>
        <w:rPr>
          <w:rFonts w:ascii="Arial" w:cs="Arial" w:eastAsia="Arial" w:hAnsi="Arial"/>
          <w:sz w:val="16"/>
          <w:szCs w:val="16"/>
          <w:color w:val="auto"/>
        </w:rPr>
        <w:t>. Subject to Section 15.01, nothing contained in this Indenture or in any of the Securities shall</w:t>
      </w:r>
    </w:p>
    <w:p>
      <w:pPr>
        <w:spacing w:after="0" w:line="46" w:lineRule="exact"/>
        <w:rPr>
          <w:sz w:val="20"/>
          <w:szCs w:val="20"/>
          <w:color w:val="auto"/>
        </w:rPr>
      </w:pPr>
    </w:p>
    <w:p>
      <w:pPr>
        <w:ind w:left="4" w:right="140" w:hanging="4"/>
        <w:spacing w:after="0" w:line="251" w:lineRule="auto"/>
        <w:tabs>
          <w:tab w:leader="none" w:pos="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premium, if any, or interest on the Securities, unless a Responsible Officer of the Trustee shall have received (i) written notice of any fact prohibiting the making of such payment from the Company, or (ii) from the holder of any Senior Indebtedness or from the trustee for any such holder, together with proof satisfactory to the Trustee of such holding of Senior Indebtedness or of the authority of such trustee, together with a Company Order confirming such holding of Senior Indebtedness or authority of such trustee and directing the Trustee to comply with such notice in accordance with the terms of this Article XV, more than two Business Days prior to the date fixed for such payment.</w:t>
      </w:r>
    </w:p>
    <w:p>
      <w:pPr>
        <w:spacing w:after="0" w:line="198"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Authorization of Securityholders to Trustee to Effect Subordination</w:t>
      </w:r>
      <w:r>
        <w:rPr>
          <w:rFonts w:ascii="Arial" w:cs="Arial" w:eastAsia="Arial" w:hAnsi="Arial"/>
          <w:sz w:val="18"/>
          <w:szCs w:val="18"/>
          <w:color w:val="auto"/>
        </w:rPr>
        <w:t>. Subject to Section 15.01, each Holder of Securities by his acceptance thereof authorizes and directs the Trustee on his, her or its behalf to take such action as may be necessary or appropriate to effectuate the subordination as provided in this Article XV.</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4"/>
          </w:cols>
          <w:pgMar w:left="436" w:top="274" w:right="499" w:bottom="1440" w:gutter="0" w:footer="0" w:header="0"/>
        </w:sectPr>
      </w:pPr>
    </w:p>
    <w:bookmarkStart w:id="149" w:name="page150"/>
    <w:bookmarkEnd w:id="149"/>
    <w:p>
      <w:pPr>
        <w:ind w:left="4" w:right="2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15.06 </w:t>
      </w:r>
      <w:r>
        <w:rPr>
          <w:rFonts w:ascii="Arial" w:cs="Arial" w:eastAsia="Arial" w:hAnsi="Arial"/>
          <w:sz w:val="16"/>
          <w:szCs w:val="16"/>
          <w:u w:val="single" w:color="auto"/>
          <w:color w:val="auto"/>
        </w:rPr>
        <w:t>Notices to Trustee</w:t>
      </w:r>
      <w:r>
        <w:rPr>
          <w:rFonts w:ascii="Arial" w:cs="Arial" w:eastAsia="Arial" w:hAnsi="Arial"/>
          <w:sz w:val="16"/>
          <w:szCs w:val="16"/>
          <w:color w:val="auto"/>
        </w:rPr>
        <w:t>. The Company shall give prompt written notice to a Responsible Officer of the Trustee of any fact known to the Company that would prohibit the making of any payment of moneys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shall have received (in the case of a Responsible Officer of the Trustee) either (i) written notice thereof from the Company, or</w:t>
      </w:r>
    </w:p>
    <w:p>
      <w:pPr>
        <w:spacing w:after="0" w:line="4" w:lineRule="exact"/>
        <w:rPr>
          <w:sz w:val="20"/>
          <w:szCs w:val="20"/>
          <w:color w:val="auto"/>
        </w:rPr>
      </w:pPr>
    </w:p>
    <w:p>
      <w:pPr>
        <w:ind w:left="4" w:hanging="4"/>
        <w:spacing w:after="0" w:line="266" w:lineRule="auto"/>
        <w:tabs>
          <w:tab w:leader="none" w:pos="26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from the holder of any Senior Indebtedness or from the trustee for any such holder, together with proof satisfactory to the Trustee of such holding of Senior Indebtedness or of the authority of such trustee, together with a Company Order confirming such holding of Senior Indebtedness or authority of such trustee and directing the Trustee to comply with such notice in accordance with the terms of this Article XV, and, prior to the receipt of any such written notice, the Trustee shall be entitled in all respects conclusively to presume that no such facts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least two Business Days prior to the date upon which by the terms hereof any such moneys or assets may become payable for any purpose (including, without limitation, the payment of either the principal of, premium, if any, or interest on any Security) a Responsible Officer of the Trustee shall not have received with respect to such moneys or assets the notices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conclusively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provided, however, the Trustee shall not act under this Article XV and shall in all cases be fully protected in refraining from acting under this Article XV unless and until it has received the aforementioned Company Order instructing it to do so.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its receipt of the aforementioned Company Order and/or judicial determination as to the right of such Person to receive such payment. The Trustee shall not incur any liability for its reliance upon any such notice, evidence, order or other writing delivered to it hereunder that it believes to be genuine. The Trustee may consult with legal counsel (who may be counsel for the Company) and other experts selected by it in connection with any notice, evidence, order or other request received by it under this Article XV, and shall not be liable for any action take or not taken by it.</w:t>
      </w:r>
    </w:p>
    <w:p>
      <w:pPr>
        <w:spacing w:after="0" w:line="187"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4"/>
          </w:cols>
          <w:pgMar w:left="436" w:top="274" w:right="479" w:bottom="1440" w:gutter="0" w:footer="0" w:header="0"/>
        </w:sectPr>
      </w:pPr>
    </w:p>
    <w:bookmarkStart w:id="150" w:name="page151"/>
    <w:bookmarkEnd w:id="150"/>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15.08 </w:t>
      </w:r>
      <w:r>
        <w:rPr>
          <w:rFonts w:ascii="Arial" w:cs="Arial" w:eastAsia="Arial" w:hAnsi="Arial"/>
          <w:sz w:val="18"/>
          <w:szCs w:val="18"/>
          <w:u w:val="single" w:color="auto"/>
          <w:color w:val="auto"/>
        </w:rPr>
        <w:t>Modifications of Terms of Senior Indebtedness</w:t>
      </w:r>
      <w:r>
        <w:rPr>
          <w:rFonts w:ascii="Arial" w:cs="Arial" w:eastAsia="Arial" w:hAnsi="Arial"/>
          <w:sz w:val="18"/>
          <w:szCs w:val="18"/>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92"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Satisfaction and Discharge; Defeasance and Covenant Defeasance</w:t>
      </w:r>
      <w:r>
        <w:rPr>
          <w:rFonts w:ascii="Arial" w:cs="Arial" w:eastAsia="Arial" w:hAnsi="Arial"/>
          <w:sz w:val="18"/>
          <w:szCs w:val="18"/>
          <w:color w:val="auto"/>
        </w:rPr>
        <w:t>. Subject to Section 15.01, moneys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84"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Section 15.11 </w:t>
      </w:r>
      <w:r>
        <w:rPr>
          <w:rFonts w:ascii="Arial" w:cs="Arial" w:eastAsia="Arial" w:hAnsi="Arial"/>
          <w:sz w:val="17"/>
          <w:szCs w:val="17"/>
          <w:u w:val="single" w:color="auto"/>
          <w:color w:val="auto"/>
        </w:rPr>
        <w:t>Trustee Not Fiduciary for Holders of Senior Indebtedness</w:t>
      </w:r>
      <w:r>
        <w:rPr>
          <w:rFonts w:ascii="Arial" w:cs="Arial" w:eastAsia="Arial" w:hAnsi="Arial"/>
          <w:sz w:val="17"/>
          <w:szCs w:val="17"/>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 For the avoidance of doubt, (i) when acting under this Article, the Trustee shall have all of the rights, benefits, privileges, protections and indemnities provided to the Trustee under Article 7 of this Indenture, and (ii) the Trustee shall not have any duty to take any discretionary action or exercise any discretionary powers in acting under this Article.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XVI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left="-40" w:right="60" w:firstLine="987"/>
        <w:spacing w:after="0" w:line="296" w:lineRule="auto"/>
        <w:tabs>
          <w:tab w:leader="none" w:pos="119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request, no additional certificate or opinion need be furnished.</w:t>
      </w:r>
    </w:p>
    <w:p>
      <w:pPr>
        <w:spacing w:after="0" w:line="53" w:lineRule="exact"/>
        <w:rPr>
          <w:rFonts w:ascii="Arial" w:cs="Arial" w:eastAsia="Arial" w:hAnsi="Arial"/>
          <w:sz w:val="16"/>
          <w:szCs w:val="16"/>
          <w:color w:val="auto"/>
        </w:rPr>
      </w:pPr>
    </w:p>
    <w:p>
      <w:pPr>
        <w:ind w:left="-40" w:right="120" w:firstLine="987"/>
        <w:spacing w:after="0" w:line="254" w:lineRule="auto"/>
        <w:tabs>
          <w:tab w:leader="none" w:pos="120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or she has made such examination or investigation as is necessary to enable such Person to express an informed view or opinion as to whether or not such covenant or condition has been complied with; and (iv) a statement as to whether or not, in the opinion of such Person, such condition or covenant has been complied with.</w:t>
      </w:r>
    </w:p>
    <w:p>
      <w:pPr>
        <w:spacing w:after="0" w:line="86" w:lineRule="exact"/>
        <w:rPr>
          <w:rFonts w:ascii="Arial" w:cs="Arial" w:eastAsia="Arial" w:hAnsi="Arial"/>
          <w:sz w:val="18"/>
          <w:szCs w:val="18"/>
          <w:color w:val="auto"/>
        </w:rPr>
      </w:pPr>
    </w:p>
    <w:p>
      <w:pPr>
        <w:ind w:left="-40" w:firstLine="987"/>
        <w:spacing w:after="0" w:line="254" w:lineRule="auto"/>
        <w:tabs>
          <w:tab w:leader="none" w:pos="11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86" w:lineRule="exact"/>
        <w:rPr>
          <w:rFonts w:ascii="Arial" w:cs="Arial" w:eastAsia="Arial" w:hAnsi="Arial"/>
          <w:sz w:val="18"/>
          <w:szCs w:val="18"/>
          <w:color w:val="auto"/>
        </w:rPr>
      </w:pPr>
    </w:p>
    <w:p>
      <w:pPr>
        <w:ind w:left="-40" w:right="120" w:firstLine="987"/>
        <w:spacing w:after="0" w:line="275" w:lineRule="auto"/>
        <w:tabs>
          <w:tab w:leader="none" w:pos="120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68" w:lineRule="exact"/>
        <w:rPr>
          <w:rFonts w:ascii="Arial" w:cs="Arial" w:eastAsia="Arial" w:hAnsi="Arial"/>
          <w:sz w:val="17"/>
          <w:szCs w:val="17"/>
          <w:color w:val="auto"/>
        </w:rPr>
      </w:pPr>
    </w:p>
    <w:p>
      <w:pPr>
        <w:ind w:left="-40" w:right="120" w:firstLine="987"/>
        <w:spacing w:after="0" w:line="259" w:lineRule="auto"/>
        <w:tabs>
          <w:tab w:leader="none" w:pos="11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480" w:top="270" w:right="479" w:bottom="1440" w:gutter="0" w:footer="0" w:header="0"/>
        </w:sectPr>
      </w:pPr>
    </w:p>
    <w:bookmarkStart w:id="152" w:name="page153"/>
    <w:bookmarkEnd w:id="152"/>
    <w:p>
      <w:pPr>
        <w:ind w:firstLine="987"/>
        <w:spacing w:after="0" w:line="277" w:lineRule="auto"/>
        <w:tabs>
          <w:tab w:leader="none" w:pos="1216"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If and to the extent that any provision of this Indenture limits, qualifies or conflicts with the duties imposed by, or with a provision included in this Indenture which is required to be included in this Indenture by any of the provisions of Sections 310 to 318, inclusive, of, the TIA, such imposed duties or incorporated provision shall control.</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Notices to the Company and Trustee</w:t>
      </w:r>
      <w:r>
        <w:rPr>
          <w:rFonts w:ascii="Arial" w:cs="Arial" w:eastAsia="Arial" w:hAnsi="Arial"/>
          <w:sz w:val="18"/>
          <w:szCs w:val="18"/>
          <w:color w:val="auto"/>
        </w:rPr>
        <w:t>. Any notice or demand authorized or permitted by this Indenture to be made upon, given or furnished to, or filed with, the Company or the Trustee shall be sufficiently made, given, furnished or filed for all purposes if it shall be mailed, by regular mail or overnight courier, delivered or faxed to:</w:t>
      </w:r>
    </w:p>
    <w:p>
      <w:pPr>
        <w:spacing w:after="0" w:line="76" w:lineRule="exact"/>
        <w:rPr>
          <w:sz w:val="20"/>
          <w:szCs w:val="20"/>
          <w:color w:val="auto"/>
        </w:rPr>
      </w:pPr>
    </w:p>
    <w:p>
      <w:pPr>
        <w:jc w:val="both"/>
        <w:ind w:right="180" w:firstLine="987"/>
        <w:spacing w:after="0" w:line="263" w:lineRule="auto"/>
        <w:tabs>
          <w:tab w:leader="none" w:pos="12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at iQIYI, Inc., 9/F, iQIYI Innovation Building, No. 2 Haidian North First Street, Haidian District, Beijing 100080, The People’s Republic of China, Attention: Secretary, or at such other address or facsimile number as may have been furnished in writing to the Trustee by the Company.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at the Corporate Trust Office, Attention: Agency and Trust – iQIYI, Inc.</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Any such notice, demand or other document shall be in the English language. Anything herein to the contrary notwithstanding, no such notice or demand shall be effective as to the Trustee unless it is actually received by the Trustee at its Corporate Trust Office.</w:t>
      </w:r>
    </w:p>
    <w:p>
      <w:pPr>
        <w:spacing w:after="0" w:line="170"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The Trustee and the Agents agree to accept and act upon instructions or directions pursuant to this Indenture sent by unsecured e-mail, pdf, facsimile transmission or other similar unsecured electronic methods;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and the Agents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elects to give the Trustee and the Agents e-mail or facsimile instructions (or instructions by a similar electronic method), the Trustee’s and the Agents’ understanding of such instructions shall be deemed controlling. The Trustee and the Agents shall have no duty or obligation to verify or confirm that the person who sent such instructions or directions is, in fact, a person authorized to give instructions or directions on behalf of the Company (other than to verify that the signature on a pdf or facsimile transmission is the signature of a person authorized to give instructions and directions on behalf of the Company). The Trustee and the Agents shall not be liable for any losses, liabilities, costs or expenses arising directly or indirectly from the Trustee’s and the Agents’ reliance upon and compliance with such instructions notwithstanding such instructions conflict or are inconsistent with a subsequent written instruction. The Company agrees to assume all risks arising out of the use of such electronic methods to submit instructions and directions to the Trustee and the Agents, including without limitation the risk of the Trustee and the Agents acting on unauthorized instructions, and the risk or interception and misuse by third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153" w:name="page154"/>
    <w:bookmarkEnd w:id="153"/>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16.04 </w:t>
      </w:r>
      <w:r>
        <w:rPr>
          <w:rFonts w:ascii="Arial" w:cs="Arial" w:eastAsia="Arial" w:hAnsi="Arial"/>
          <w:sz w:val="18"/>
          <w:szCs w:val="18"/>
          <w:u w:val="single" w:color="auto"/>
          <w:color w:val="auto"/>
        </w:rPr>
        <w:t>Notices to Securityholders; Waiver</w:t>
      </w:r>
      <w:r>
        <w:rPr>
          <w:rFonts w:ascii="Arial" w:cs="Arial" w:eastAsia="Arial" w:hAnsi="Arial"/>
          <w:sz w:val="18"/>
          <w:szCs w:val="18"/>
          <w:color w:val="auto"/>
        </w:rPr>
        <w:t>. Any notice required or permitted to be given to Securityholders shall be sufficiently given (unless otherwise herein expressly provided), if to Holders, if given in writing by first class mail, postage prepaid, to such Holders at their addresses as the same shall appear on the Register.</w:t>
      </w:r>
    </w:p>
    <w:p>
      <w:pPr>
        <w:spacing w:after="0" w:line="76" w:lineRule="exact"/>
        <w:rPr>
          <w:sz w:val="20"/>
          <w:szCs w:val="20"/>
          <w:color w:val="auto"/>
        </w:rPr>
      </w:pPr>
    </w:p>
    <w:p>
      <w:pPr>
        <w:ind w:right="140" w:firstLine="987"/>
        <w:spacing w:after="0" w:line="308" w:lineRule="auto"/>
        <w:tabs>
          <w:tab w:leader="none" w:pos="123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the event of suspension of regular mail service or by reason of any other cause it shall be impracticable to give notice by mail, then such notification as shall be given with the approval of the Trustee shall constitute sufficient notice for every purpose hereunder.</w:t>
      </w:r>
    </w:p>
    <w:p>
      <w:pPr>
        <w:spacing w:after="0" w:line="38" w:lineRule="exact"/>
        <w:rPr>
          <w:rFonts w:ascii="Arial" w:cs="Arial" w:eastAsia="Arial" w:hAnsi="Arial"/>
          <w:sz w:val="17"/>
          <w:szCs w:val="17"/>
          <w:color w:val="auto"/>
        </w:rPr>
      </w:pPr>
    </w:p>
    <w:p>
      <w:pPr>
        <w:ind w:firstLine="987"/>
        <w:spacing w:after="0" w:line="254" w:lineRule="auto"/>
        <w:tabs>
          <w:tab w:leader="none" w:pos="12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92"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u w:val="single" w:color="auto"/>
          <w:color w:val="auto"/>
        </w:rPr>
        <w:t>Legal Holiday</w:t>
      </w:r>
      <w:r>
        <w:rPr>
          <w:rFonts w:ascii="Arial" w:cs="Arial" w:eastAsia="Arial" w:hAnsi="Arial"/>
          <w:sz w:val="17"/>
          <w:szCs w:val="17"/>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154" w:name="page155"/>
    <w:bookmarkEnd w:id="154"/>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16.06 </w:t>
      </w:r>
      <w:r>
        <w:rPr>
          <w:rFonts w:ascii="Arial" w:cs="Arial" w:eastAsia="Arial" w:hAnsi="Arial"/>
          <w:sz w:val="17"/>
          <w:szCs w:val="17"/>
          <w:u w:val="single" w:color="auto"/>
          <w:color w:val="auto"/>
        </w:rPr>
        <w:t>Judgment Currency</w:t>
      </w:r>
      <w:r>
        <w:rPr>
          <w:rFonts w:ascii="Arial" w:cs="Arial" w:eastAsia="Arial" w:hAnsi="Arial"/>
          <w:sz w:val="17"/>
          <w:szCs w:val="17"/>
          <w:color w:val="auto"/>
        </w:rPr>
        <w:t>. To the fullest extent permitted by law, the obligations of the Company to any Holder under this Indenture or the Securities of any series, as the case may be,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other than U.S. Dollars, be discharged only to the extent that on the Business Day following receipt by such Holder or the Trustee, as the case may be, of any amount in the Judgment Currency, such Holder or the Trustee, as the case may be, may in accordance with normal banking procedures purchase the U.S. Dollars with the Judgment Currency. If the amount of U.S. Dollars so purchased is less than the amount originally to be paid to such Holder or the Trustee, as the case may be, in U.S. Dollars, the Company agrees, as a separate obligation and notwithstanding such judgment, to pay the difference, and if the amount of U.S. Dollars so purchased exceeds the amount originally to be paid to such Holder, such Holder or the Trustee, as the case may be, agrees to pay to or for the account of the Company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Holder shall not have any obligation to pay any such excess as long as a Default by the Company in its obligations under this Indenture or such series of Securities has occurred and is continuing, in which case such excess may be applied by such Holder to such obligations. In the event the Trustee is required or requested to make such purchases of U.S. Dollars with the Judgment Currency, the Trustee will in good faith select a recognized banking institution in The City of New York through which the Trustee will purchase the U.S. Dollars with the Judgment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will not be liable for any losses or shortfalls in amounts so paid as a result of the foreign exchange rate applied by such banking institution to such purchases of the U.S. Dollars with the Judgment Currency in accordance with normal banking procedures.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Effects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shall be held to be invalid, illegal or unenforceable under applicable law, then the remaining provisions hereof shall be construed as though such invalid, illegal or unenforceable provision were not contained herein.</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expressed and nothing that may be implied from any of the provisions hereof is intended, or shall be construed, to confer upon, or to give to, any Person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Indenture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u w:val="single" w:color="auto"/>
          <w:color w:val="auto"/>
        </w:rPr>
        <w:t>Governing Law; Waiver of Trial by Jury</w:t>
      </w:r>
      <w:r>
        <w:rPr>
          <w:rFonts w:ascii="Arial" w:cs="Arial" w:eastAsia="Arial" w:hAnsi="Arial"/>
          <w:sz w:val="17"/>
          <w:szCs w:val="17"/>
          <w:color w:val="auto"/>
        </w:rPr>
        <w:t>. This Indenture and the Securities shall be deemed to be contracts made under the law of the State of New York, and for all purposes shall be governed by and construed in accordance with the law of said State.</w:t>
      </w:r>
    </w:p>
    <w:p>
      <w:pPr>
        <w:spacing w:after="0" w:line="14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EACH OF THE COMPANY AND THE TRUSTEE HEREBY WAIVES, TO THE FULLEST EXTENT PERMITTED BY APPLICABLE LAW, ANY RIGHT IT MAY HAVE TO A TRIAL BY JURY IN RESPECT OF ANY LITIGATION DIRECTLY OR INDIRECTLY ARISING OUT OF, UNDER OR IN CONNECTION WITH THIS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155" w:name="page156"/>
    <w:bookmarkEnd w:id="155"/>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16.13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Company irrevocably and unconditionally submits to the non-exclusive jurisdiction of any U.S. federal or New York State court located in the Borough of Manhattan, The City of New York over any suit, action or proceeding arising out of or relating to this Indenture or the Securities. Service of any process, summons, notice or document by registered mail addressed to the Company’s agent, Cogency Global Inc., at the address 122 East 42nd Street, 18th Floor, New York, NY 10168, shall be effective service of process against the Company for any suit, action or proceeding brought in any such court. The Company irrevocably and unconditionally waives, to the fullest extent permitted by applicable law,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the Company and may be enforced in any other courts to whose jurisdiction the Company is or may be subject, by suit upon judgment. The Company further agrees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spacing w:after="0" w:line="18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16.14 </w:t>
      </w:r>
      <w:r>
        <w:rPr>
          <w:rFonts w:ascii="Arial" w:cs="Arial" w:eastAsia="Arial" w:hAnsi="Arial"/>
          <w:sz w:val="16"/>
          <w:szCs w:val="16"/>
          <w:u w:val="single" w:color="auto"/>
          <w:color w:val="auto"/>
        </w:rPr>
        <w:t>Waiver of Immunity</w:t>
      </w:r>
      <w:r>
        <w:rPr>
          <w:rFonts w:ascii="Arial" w:cs="Arial" w:eastAsia="Arial" w:hAnsi="Arial"/>
          <w:sz w:val="16"/>
          <w:szCs w:val="16"/>
          <w:color w:val="auto"/>
        </w:rPr>
        <w:t>. To the extent that the Company or any of its properties, assets or revenues may have or may hereafter become entitled to, or have attributed to each of the Company, any right of immunity, on the grounds of sovereignty or otherwise, from any legal action, suit or proceeding, from the giving of any relief in any such legal action, suit or proceeding, from setoff or counterclaim, from the jurisdiction of any Cayman Islands, PRC, New York state or U.S. federal court, from service of process, from attachment upon or prior to judgment, from attachment in aid of execution of judgment, or from execution of judgment, or other legal process or proceeding for the giving of any relief or for the enforcement of any judgment, in any such court in which proceedings may at any time be commenced, with respect to the obligations and liabilities of the Company or any other matter under or arising out of or in connection with this Indenture, the Company hereby irrevocably and unconditionally waives or will waive such right to the extent permitted by applicable law, and agree not to plead or claim, any such immunity and consent to such relief and enforcement.</w:t>
      </w:r>
    </w:p>
    <w:p>
      <w:pPr>
        <w:spacing w:after="0" w:line="165"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16.15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156" w:name="page157"/>
    <w:bookmarkEnd w:id="1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Indenture to be duly executed as of the date first written above.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IQIYI,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Company</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 Inclusion in a Global Security only —</w:t>
      </w:r>
      <w:r>
        <w:rPr>
          <w:rFonts w:ascii="Arial" w:cs="Arial" w:eastAsia="Arial" w:hAnsi="Arial"/>
          <w:sz w:val="18"/>
          <w:szCs w:val="18"/>
          <w:color w:val="auto"/>
        </w:rPr>
        <w:t xml:space="preserve"> 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157" w:name="page158"/>
    <w:bookmarkEnd w:id="15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IQIYI,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 Note Due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___________</w:t>
      </w:r>
    </w:p>
    <w:p>
      <w:pPr>
        <w:spacing w:after="0" w:line="21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IQIYI, Inc., an exempted company incorporated in the Cayman Islands (the “</w:t>
      </w:r>
      <w:r>
        <w:rPr>
          <w:rFonts w:ascii="Arial" w:cs="Arial" w:eastAsia="Arial" w:hAnsi="Arial"/>
          <w:sz w:val="16"/>
          <w:szCs w:val="16"/>
          <w:u w:val="single" w:color="auto"/>
          <w:color w:val="auto"/>
        </w:rPr>
        <w:t>Company</w:t>
      </w:r>
      <w:r>
        <w:rPr>
          <w:rFonts w:ascii="Arial" w:cs="Arial" w:eastAsia="Arial" w:hAnsi="Arial"/>
          <w:sz w:val="16"/>
          <w:szCs w:val="16"/>
          <w:color w:val="auto"/>
        </w:rPr>
        <w:t>,” which term includes any successor thereto under the Indenture referred to on the reverse hereof), for value received, hereby promises to pay to ___________, or registered assigns, the principal sum of</w:t>
      </w:r>
    </w:p>
    <w:p>
      <w:pPr>
        <w:spacing w:after="0"/>
        <w:rPr>
          <w:sz w:val="20"/>
          <w:szCs w:val="20"/>
          <w:color w:val="auto"/>
        </w:rPr>
      </w:pPr>
      <w:r>
        <w:rPr>
          <w:rFonts w:ascii="Arial" w:cs="Arial" w:eastAsia="Arial" w:hAnsi="Arial"/>
          <w:sz w:val="16"/>
          <w:szCs w:val="16"/>
          <w:color w:val="auto"/>
        </w:rPr>
        <w:t>__________________ (_____) (or such other principal amount as shall be set forth in the Schedule of Increases or Decreases in Note attached 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_____________, or on such earlier date as the principal hereof may become due in accordance with the provisions of this Note.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Rate: ___________% per annum.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Payment Dates: ___________ and ___________ of each year, commencing on ___________.</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Record Dates: ___________ and ___________.</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under the Indenture referred to on the reverse hereof.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440" w:top="274" w:right="539" w:bottom="1440" w:gutter="0" w:footer="0" w:header="0"/>
        </w:sectPr>
      </w:pPr>
    </w:p>
    <w:bookmarkStart w:id="158" w:name="page159"/>
    <w:bookmarkEnd w:id="1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IQIYI,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Xiaodong Wang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Chief Financial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certifies that this is one of the Notes described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within-named Indenture.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019"/>
          </w:cols>
          <w:pgMar w:left="440" w:top="274" w:right="1440" w:bottom="1440" w:gutter="0" w:footer="0" w:header="0"/>
        </w:sectPr>
      </w:pPr>
    </w:p>
    <w:bookmarkStart w:id="159" w:name="page160"/>
    <w:bookmarkEnd w:id="1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IQIYI, INC.</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 Note Due _____</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Note is one of a duly authorized issue of debt securities of the Company of the series designated as the “___% Note due _____” (the</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Notes</w:t>
      </w:r>
      <w:r>
        <w:rPr>
          <w:rFonts w:ascii="Arial" w:cs="Arial" w:eastAsia="Arial" w:hAnsi="Arial"/>
          <w:sz w:val="16"/>
          <w:szCs w:val="16"/>
          <w:color w:val="auto"/>
        </w:rPr>
        <w:t>”), all issued or to be issued under and pursuant to an Indenture, dated as of [●] (the “</w:t>
      </w:r>
      <w:r>
        <w:rPr>
          <w:rFonts w:ascii="Arial" w:cs="Arial" w:eastAsia="Arial" w:hAnsi="Arial"/>
          <w:sz w:val="16"/>
          <w:szCs w:val="16"/>
          <w:u w:val="single" w:color="auto"/>
          <w:color w:val="auto"/>
        </w:rPr>
        <w:t>Base Indenture</w:t>
      </w:r>
      <w:r>
        <w:rPr>
          <w:rFonts w:ascii="Arial" w:cs="Arial" w:eastAsia="Arial" w:hAnsi="Arial"/>
          <w:sz w:val="16"/>
          <w:szCs w:val="16"/>
          <w:color w:val="auto"/>
        </w:rPr>
        <w:t>”), duly executed and delivered by and between the Company and Citibank, N.A.,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which term includes any successor trustee)[, as supplemented by the Supplemental Indenture, dated as of _________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duly executed and delivered by and between the Company and the Trustee]. The Base</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Indenture [as supplemented and amended by the Supplemental Indenture] is referred to herein as the “</w:t>
      </w:r>
      <w:r>
        <w:rPr>
          <w:rFonts w:ascii="Arial" w:cs="Arial" w:eastAsia="Arial" w:hAnsi="Arial"/>
          <w:sz w:val="18"/>
          <w:szCs w:val="18"/>
          <w:u w:val="single" w:color="auto"/>
          <w:color w:val="auto"/>
        </w:rPr>
        <w:t>Indenture</w:t>
      </w:r>
      <w:r>
        <w:rPr>
          <w:rFonts w:ascii="Arial" w:cs="Arial" w:eastAsia="Arial" w:hAnsi="Arial"/>
          <w:sz w:val="18"/>
          <w:szCs w:val="18"/>
          <w:color w:val="auto"/>
        </w:rPr>
        <w:t>”. Capitalized terms used herein and not otherwise defined shall have the meanings given them in the Indenture.</w:t>
      </w:r>
    </w:p>
    <w:p>
      <w:pPr>
        <w:spacing w:after="0" w:line="77" w:lineRule="exact"/>
        <w:rPr>
          <w:sz w:val="20"/>
          <w:szCs w:val="20"/>
          <w:color w:val="auto"/>
        </w:rPr>
      </w:pPr>
    </w:p>
    <w:p>
      <w:pPr>
        <w:ind w:right="280" w:firstLine="436"/>
        <w:spacing w:after="0" w:line="259"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The Company promises to pay interest on the principal amount of this Note at a rate of ___% per annum. The Company will pay interest semi-annually on _____ and _____ of each year. If a payment date is not a Business Day as defined in the Indenture at a Place of Payment, payment may be made at that place on the next succeeding day that is a Business Day, and no interest shall accrue for the intervening period. Interest shall be computed on the basis of a 360-day year of twelve 30-day months.</w:t>
      </w:r>
    </w:p>
    <w:p>
      <w:pPr>
        <w:spacing w:after="0" w:line="78" w:lineRule="exact"/>
        <w:rPr>
          <w:rFonts w:ascii="Arial" w:cs="Arial" w:eastAsia="Arial" w:hAnsi="Arial"/>
          <w:sz w:val="18"/>
          <w:szCs w:val="18"/>
          <w:color w:val="auto"/>
        </w:rPr>
      </w:pPr>
    </w:p>
    <w:p>
      <w:pPr>
        <w:ind w:firstLine="436"/>
        <w:spacing w:after="0" w:line="254"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Company shall pay interest on the Notes (except Defaulted Interest), if any, to the Persons in whose name such Notes are registered at the close of business on the Record Date referred to on the face of this Note for such interest installment. In the event that the Notes or a portion thereof are called for redemption, and the Redemption Date is subsequent to a Record Date with respect to any Interest Payment Date and prior to such Interest Payment Date, interest on such Notes will instead be paid upon presentation and surrender of such Notes as provided in the Indenture. Payment of interest on the Notes shall be made, in the currency of the United States of America that at the time is legal tender for payment of public and private debts, at the Corporate Trust Office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83" w:lineRule="exact"/>
        <w:rPr>
          <w:rFonts w:ascii="Arial" w:cs="Arial" w:eastAsia="Arial" w:hAnsi="Arial"/>
          <w:sz w:val="18"/>
          <w:szCs w:val="18"/>
          <w:color w:val="auto"/>
        </w:rPr>
      </w:pPr>
    </w:p>
    <w:p>
      <w:pPr>
        <w:ind w:right="100" w:firstLine="436"/>
        <w:spacing w:after="0" w:line="277"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Citibank, N.A., will act as Paying Agent and Registrar. The Company may change or appoint any Paying Agent or Registrar without notice to any Noteholder. The Company may act in any such capacity.</w:t>
      </w:r>
    </w:p>
    <w:p>
      <w:pPr>
        <w:spacing w:after="0" w:line="62" w:lineRule="exact"/>
        <w:rPr>
          <w:rFonts w:ascii="Arial" w:cs="Arial" w:eastAsia="Arial" w:hAnsi="Arial"/>
          <w:sz w:val="18"/>
          <w:szCs w:val="18"/>
          <w:color w:val="auto"/>
        </w:rPr>
      </w:pPr>
    </w:p>
    <w:p>
      <w:pPr>
        <w:ind w:right="20" w:firstLine="436"/>
        <w:spacing w:after="0" w:line="293" w:lineRule="auto"/>
        <w:tabs>
          <w:tab w:leader="none" w:pos="62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terms of the Notes include those stated in the Indenture and those made part of the Indenture by reference to the Trust Indenture Act of 1939 (“</w:t>
      </w:r>
      <w:r>
        <w:rPr>
          <w:rFonts w:ascii="Arial" w:cs="Arial" w:eastAsia="Arial" w:hAnsi="Arial"/>
          <w:sz w:val="16"/>
          <w:szCs w:val="16"/>
          <w:u w:val="single" w:color="auto"/>
          <w:color w:val="auto"/>
        </w:rPr>
        <w:t>TIA</w:t>
      </w:r>
      <w:r>
        <w:rPr>
          <w:rFonts w:ascii="Arial" w:cs="Arial" w:eastAsia="Arial" w:hAnsi="Arial"/>
          <w:sz w:val="16"/>
          <w:szCs w:val="16"/>
          <w:color w:val="auto"/>
        </w:rPr>
        <w:t>”) as in effect on the date the Indenture is qualified. The Notes are subject to all such terms, and Noteholders are referred to the Indenture and TIA for a statement of such terms. The Notes are unsecured general obligations of the Company and constitute the series designated on the face of this Note as the “___% Note due _____,” initially limited to US$_________ in aggregate principal amount. The Company will furnish to any Noteholder upon written request and without charge a copy of the Base Indenture [and the Supplemental Indenture]. Requests may be made to: [9/F, iQIYI Innovation Building, No. 2 Haidian North First Street, Haidian District, Beijing 100080, The People’s Republic of China, Attention: Secretary].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160" w:name="page161"/>
    <w:bookmarkEnd w:id="160"/>
    <w:p>
      <w:pPr>
        <w:jc w:val="both"/>
        <w:ind w:left="-120" w:right="280" w:firstLine="436"/>
        <w:spacing w:after="0" w:line="263" w:lineRule="auto"/>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Redemption and Repurchase</w:t>
      </w:r>
      <w:r>
        <w:rPr>
          <w:rFonts w:ascii="Arial" w:cs="Arial" w:eastAsia="Arial" w:hAnsi="Arial"/>
          <w:sz w:val="18"/>
          <w:szCs w:val="18"/>
          <w:color w:val="auto"/>
        </w:rPr>
        <w:t>. [The Notes are subject to optional redemption, and may be the subject of a mandatory redemption or offer to purchase, as further described in the Indenture.] [The Company shall not be required to make mandatory redemption or sinking fund payments with respect to the Notes.]</w:t>
      </w:r>
    </w:p>
    <w:p>
      <w:pPr>
        <w:spacing w:after="0" w:line="75" w:lineRule="exact"/>
        <w:rPr>
          <w:rFonts w:ascii="Arial" w:cs="Arial" w:eastAsia="Arial" w:hAnsi="Arial"/>
          <w:sz w:val="18"/>
          <w:szCs w:val="18"/>
          <w:color w:val="auto"/>
        </w:rPr>
      </w:pPr>
    </w:p>
    <w:p>
      <w:pPr>
        <w:ind w:left="-120" w:firstLine="436"/>
        <w:spacing w:after="0" w:line="255" w:lineRule="auto"/>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The Notes are in registered form without coupons in the denominations of US$______ or any integral multiple of US$1,000 in excess thereof. The transfer of Notes may be registered and Notes may be exchanged as provided in the Indenture. The Notes may be presented for exchange or for registration of transfer (duly endorsed or with the form of transfer endorsed thereon duly executed if so required by the Company or the Registrar) at the office of the Registrar or at the office of any transfer agent designated by the Company for such purpose. The Company need not exchange or register the transfer of any Note or portion of a Note selected for redemption, except for the unredeemed portion of any Note being redeemed in part.</w:t>
      </w:r>
    </w:p>
    <w:p>
      <w:pPr>
        <w:spacing w:after="0" w:line="84" w:lineRule="exact"/>
        <w:rPr>
          <w:rFonts w:ascii="Arial" w:cs="Arial" w:eastAsia="Arial" w:hAnsi="Arial"/>
          <w:sz w:val="18"/>
          <w:szCs w:val="18"/>
          <w:color w:val="auto"/>
        </w:rPr>
      </w:pPr>
    </w:p>
    <w:p>
      <w:pPr>
        <w:ind w:left="500" w:hanging="184"/>
        <w:spacing w:after="0"/>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Noteholder may be treated as its owner for all purposes.</w:t>
      </w:r>
    </w:p>
    <w:p>
      <w:pPr>
        <w:spacing w:after="0" w:line="117" w:lineRule="exact"/>
        <w:rPr>
          <w:rFonts w:ascii="Arial" w:cs="Arial" w:eastAsia="Arial" w:hAnsi="Arial"/>
          <w:sz w:val="18"/>
          <w:szCs w:val="18"/>
          <w:color w:val="auto"/>
        </w:rPr>
      </w:pPr>
    </w:p>
    <w:p>
      <w:pPr>
        <w:ind w:left="-120" w:right="100" w:firstLine="436"/>
        <w:spacing w:after="0" w:line="259" w:lineRule="auto"/>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Amendments, Supplements and Waivers</w:t>
      </w:r>
      <w:r>
        <w:rPr>
          <w:rFonts w:ascii="Arial" w:cs="Arial" w:eastAsia="Arial" w:hAnsi="Arial"/>
          <w:sz w:val="18"/>
          <w:szCs w:val="18"/>
          <w:color w:val="auto"/>
        </w:rPr>
        <w:t>. The Indenture and the Notes may be amended or supplemented as provided in the Indenture. Any consent or waiver by the Noteholders as provided in the Indenture shall be conclusive and binding upon such Holders and upon all future Noteholders and holders of any security issued upon the registration of transfer hereof or in exchange herefor or in lieu hereof, whether or not notation of such consent or waiver is made upon the Notes.</w:t>
      </w:r>
    </w:p>
    <w:p>
      <w:pPr>
        <w:spacing w:after="0" w:line="78" w:lineRule="exact"/>
        <w:rPr>
          <w:rFonts w:ascii="Arial" w:cs="Arial" w:eastAsia="Arial" w:hAnsi="Arial"/>
          <w:sz w:val="18"/>
          <w:szCs w:val="18"/>
          <w:color w:val="auto"/>
        </w:rPr>
      </w:pPr>
    </w:p>
    <w:p>
      <w:pPr>
        <w:jc w:val="both"/>
        <w:ind w:left="-120" w:right="80" w:firstLine="436"/>
        <w:spacing w:after="0" w:line="263" w:lineRule="auto"/>
        <w:tabs>
          <w:tab w:leader="none" w:pos="5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The Events of Default relating to the Notes are defined in Section 7.01 of the Base Indenture. Upon the occurrence of an Event of Default, the rights and obligations of the Company, the Trustee and the Noteholders shall be as set forth in the applicable provisions of the Indenture.</w:t>
      </w:r>
    </w:p>
    <w:p>
      <w:pPr>
        <w:spacing w:after="0" w:line="75" w:lineRule="exact"/>
        <w:rPr>
          <w:rFonts w:ascii="Arial" w:cs="Arial" w:eastAsia="Arial" w:hAnsi="Arial"/>
          <w:sz w:val="18"/>
          <w:szCs w:val="18"/>
          <w:color w:val="auto"/>
        </w:rPr>
      </w:pPr>
    </w:p>
    <w:p>
      <w:pPr>
        <w:ind w:left="-120" w:firstLine="436"/>
        <w:spacing w:after="0" w:line="296" w:lineRule="auto"/>
        <w:tabs>
          <w:tab w:leader="none" w:pos="59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recourse under or upon any obligation, covenant or agreement contained in the Indenture or the Notes,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hereof and as part of the consideration for the issue hereof.</w:t>
      </w:r>
    </w:p>
    <w:p>
      <w:pPr>
        <w:spacing w:after="0" w:line="53" w:lineRule="exact"/>
        <w:rPr>
          <w:rFonts w:ascii="Arial" w:cs="Arial" w:eastAsia="Arial" w:hAnsi="Arial"/>
          <w:sz w:val="16"/>
          <w:szCs w:val="16"/>
          <w:color w:val="auto"/>
        </w:rPr>
      </w:pPr>
    </w:p>
    <w:p>
      <w:pPr>
        <w:ind w:left="-120" w:right="40" w:firstLine="436"/>
        <w:spacing w:after="0" w:line="277" w:lineRule="auto"/>
        <w:tabs>
          <w:tab w:leader="none" w:pos="58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Authentication</w:t>
      </w:r>
      <w:r>
        <w:rPr>
          <w:rFonts w:ascii="Arial" w:cs="Arial" w:eastAsia="Arial" w:hAnsi="Arial"/>
          <w:sz w:val="18"/>
          <w:szCs w:val="18"/>
          <w:color w:val="auto"/>
        </w:rPr>
        <w:t>. This Note shall not be entitled to any benefit under the Indenture or be valid or obligatory for any purpose until authenticated by the manual signature of the Trustee.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780"/>
          </w:cols>
          <w:pgMar w:left="560" w:top="274" w:right="559" w:bottom="1440" w:gutter="0" w:footer="0" w:header="0"/>
        </w:sectPr>
      </w:pPr>
    </w:p>
    <w:bookmarkStart w:id="161" w:name="page162"/>
    <w:bookmarkEnd w:id="161"/>
    <w:p>
      <w:pPr>
        <w:ind w:left="-360" w:firstLine="436"/>
        <w:spacing w:after="0" w:line="277" w:lineRule="auto"/>
        <w:tabs>
          <w:tab w:leader="none" w:pos="35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Governing Law</w:t>
      </w:r>
      <w:r>
        <w:rPr>
          <w:rFonts w:ascii="Arial" w:cs="Arial" w:eastAsia="Arial" w:hAnsi="Arial"/>
          <w:sz w:val="18"/>
          <w:szCs w:val="18"/>
          <w:color w:val="auto"/>
        </w:rPr>
        <w:t>. The Base Indenture, the Supplemental Indenture and this Note shall be deemed to be contracts made under the law of the State of New York, and for all purposes shall be governed by and construed in accordance with the law of said State.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280"/>
          </w:cols>
          <w:pgMar w:left="800" w:top="274" w:right="819" w:bottom="1440" w:gutter="0" w:footer="0" w:header="0"/>
        </w:sectPr>
      </w:pPr>
    </w:p>
    <w:bookmarkStart w:id="162" w:name="page163"/>
    <w:bookmarkEnd w:id="16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within Note and all rights thereunder, hereby irrevocably constituting and appointing _______________________________________________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 Attorney to transfer such Note on the books of the Company, with full power of substitution in the premises.</w:t>
      </w:r>
    </w:p>
    <w:p>
      <w:pPr>
        <w:spacing w:after="0" w:line="2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2799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279908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NOTICE: The signature to this assignment must correspond with the</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 as written upon the face of the within Note in every particular</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without alteration or enlargement or any change whatsoever.</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u w:val="single" w:color="auto"/>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00"/>
          </w:cols>
          <w:pgMar w:left="440" w:top="274" w:right="5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OF INCREASES OR DECREASES IN NOTE</w:t>
      </w:r>
      <w:r>
        <w:rPr>
          <w:rFonts w:ascii="Arial" w:cs="Arial" w:eastAsia="Arial" w:hAnsi="Arial"/>
          <w:sz w:val="15"/>
          <w:szCs w:val="15"/>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initial principal amount of this Note is US$___________. The following increases or decreases in a part of this Note have been made: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4"/>
              </w:rPr>
              <w:t>Amount of</w:t>
            </w: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Amount of</w:t>
            </w: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Principal amount</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of this Note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principal</w:t>
            </w:r>
          </w:p>
        </w:tc>
        <w:tc>
          <w:tcPr>
            <w:tcW w:w="18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720" w:type="dxa"/>
            <w:vAlign w:val="bottom"/>
          </w:tcPr>
          <w:p>
            <w:pPr>
              <w:spacing w:after="0"/>
              <w:rPr>
                <w:sz w:val="12"/>
                <w:szCs w:val="12"/>
                <w:color w:val="auto"/>
              </w:rPr>
            </w:pPr>
          </w:p>
        </w:tc>
        <w:tc>
          <w:tcPr>
            <w:tcW w:w="18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principal amount</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4"/>
                <w:szCs w:val="14"/>
                <w:color w:val="auto"/>
              </w:rPr>
            </w:pPr>
          </w:p>
        </w:tc>
        <w:tc>
          <w:tcPr>
            <w:tcW w:w="472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of this Note</w:t>
            </w:r>
          </w:p>
        </w:tc>
        <w:tc>
          <w:tcPr>
            <w:tcW w:w="72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6"/>
              </w:rPr>
              <w:t>Note</w:t>
            </w:r>
          </w:p>
        </w:tc>
        <w:tc>
          <w:tcPr>
            <w:tcW w:w="72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74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7715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6"/>
          <w:szCs w:val="16"/>
          <w:color w:val="auto"/>
        </w:rPr>
        <w:t>Insert in Global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20"/>
          </w:cols>
          <w:pgMar w:left="440" w:top="274" w:right="4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This Compliance Certificate is delivered pursuant to Section 6.07 of the Indenture, dated as of [●], as amended, supplemented or modified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iQIYI, Inc, an exempted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and Citibank, N.A., as trustee (the “</w:t>
      </w:r>
      <w:r>
        <w:rPr>
          <w:rFonts w:ascii="Arial" w:cs="Arial" w:eastAsia="Arial" w:hAnsi="Arial"/>
          <w:sz w:val="18"/>
          <w:szCs w:val="18"/>
          <w:b w:val="1"/>
          <w:bCs w:val="1"/>
          <w:color w:val="auto"/>
        </w:rPr>
        <w:t>Trustee</w:t>
      </w:r>
      <w:r>
        <w:rPr>
          <w:rFonts w:ascii="Arial" w:cs="Arial" w:eastAsia="Arial" w:hAnsi="Arial"/>
          <w:sz w:val="18"/>
          <w:szCs w:val="18"/>
          <w:color w:val="auto"/>
        </w:rPr>
        <w:t>”). Capitalized terms defined in the Indenture are used herein as therein defined.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to the Trustee as follows:</w:t>
      </w:r>
    </w:p>
    <w:p>
      <w:pPr>
        <w:spacing w:after="0" w:line="131" w:lineRule="exact"/>
        <w:rPr>
          <w:sz w:val="20"/>
          <w:szCs w:val="20"/>
          <w:color w:val="auto"/>
        </w:rPr>
      </w:pPr>
    </w:p>
    <w:p>
      <w:pPr>
        <w:ind w:left="960" w:hanging="532"/>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am the duly elected, qualified and acting [title] or [title], as the case may be, of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and am familiar with the contents of this Compliance Certificate.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the terms of the Indenture.</w:t>
      </w:r>
    </w:p>
    <w:p>
      <w:pPr>
        <w:spacing w:after="0" w:line="130" w:lineRule="exact"/>
        <w:rPr>
          <w:rFonts w:ascii="Arial" w:cs="Arial" w:eastAsia="Arial" w:hAnsi="Arial"/>
          <w:sz w:val="18"/>
          <w:szCs w:val="18"/>
          <w:color w:val="auto"/>
        </w:rPr>
      </w:pPr>
    </w:p>
    <w:p>
      <w:pPr>
        <w:ind w:left="960" w:right="200" w:hanging="532"/>
        <w:spacing w:after="0" w:line="259" w:lineRule="auto"/>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review has been conducted of the activities of the Company’s performance under the Indenture, in each case since the [Issue Date/date of last Compliance Certificate], and since the [Issue Date/date of last Compliance Certificate] the Company has been in compliance with all conditions and covenants under the Indenture]/[if there has been a default in the fulfillment of any obligation under the Indenture, specifying each such default and the nature and status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has executed this Compliance Certificate as of the date set forth below.</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IQIYI,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 20[•]</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Form of Compliance Certificate]</w:t>
      </w:r>
    </w:p>
    <w:p>
      <w:pPr>
        <w:sectPr>
          <w:pgSz w:w="11900" w:h="16838" w:orient="portrait"/>
          <w:cols w:equalWidth="0" w:num="1">
            <w:col w:w="9579"/>
          </w:cols>
          <w:pgMar w:left="880" w:top="274"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c>
          <w:tcPr>
            <w:tcW w:w="0" w:type="dxa"/>
            <w:vAlign w:val="bottom"/>
          </w:tcPr>
          <w:p>
            <w:pPr>
              <w:spacing w:after="0"/>
              <w:rPr>
                <w:sz w:val="1"/>
                <w:szCs w:val="1"/>
                <w:color w:val="auto"/>
              </w:rPr>
            </w:pPr>
          </w:p>
        </w:tc>
      </w:tr>
      <w:tr>
        <w:trPr>
          <w:trHeight w:val="580"/>
        </w:trPr>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Partners:</w:t>
            </w:r>
          </w:p>
        </w:tc>
        <w:tc>
          <w:tcPr>
            <w:tcW w:w="580" w:type="dxa"/>
            <w:vAlign w:val="bottom"/>
          </w:tcPr>
          <w:p>
            <w:pPr>
              <w:spacing w:after="0"/>
              <w:rPr>
                <w:sz w:val="24"/>
                <w:szCs w:val="24"/>
                <w:color w:val="auto"/>
              </w:rPr>
            </w:pPr>
          </w:p>
        </w:tc>
        <w:tc>
          <w:tcPr>
            <w:tcW w:w="4900" w:type="dxa"/>
            <w:vAlign w:val="bottom"/>
          </w:tcPr>
          <w:p>
            <w:pPr>
              <w:ind w:left="60"/>
              <w:spacing w:after="0"/>
              <w:rPr>
                <w:sz w:val="20"/>
                <w:szCs w:val="20"/>
                <w:color w:val="auto"/>
              </w:rPr>
            </w:pPr>
            <w:r>
              <w:rPr>
                <w:rFonts w:ascii="Arial" w:cs="Arial" w:eastAsia="Arial" w:hAnsi="Arial"/>
                <w:sz w:val="18"/>
                <w:szCs w:val="18"/>
                <w:color w:val="auto"/>
              </w:rPr>
              <w:t>15 December 2020</w:t>
            </w:r>
          </w:p>
        </w:tc>
        <w:tc>
          <w:tcPr>
            <w:tcW w:w="3960" w:type="dxa"/>
            <w:vAlign w:val="bottom"/>
          </w:tcPr>
          <w:p>
            <w:pPr>
              <w:jc w:val="right"/>
              <w:spacing w:after="0"/>
              <w:rPr>
                <w:sz w:val="20"/>
                <w:szCs w:val="20"/>
                <w:color w:val="auto"/>
              </w:rPr>
            </w:pPr>
            <w:r>
              <w:rPr>
                <w:rFonts w:ascii="Arial" w:cs="Arial" w:eastAsia="Arial" w:hAnsi="Arial"/>
                <w:sz w:val="18"/>
                <w:szCs w:val="18"/>
                <w:color w:val="auto"/>
              </w:rPr>
              <w:t>Our Ref: JWYL/BL/Q0149-H20000</w:t>
            </w:r>
          </w:p>
        </w:tc>
        <w:tc>
          <w:tcPr>
            <w:tcW w:w="0" w:type="dxa"/>
            <w:vAlign w:val="bottom"/>
          </w:tcPr>
          <w:p>
            <w:pPr>
              <w:spacing w:after="0"/>
              <w:rPr>
                <w:sz w:val="1"/>
                <w:szCs w:val="1"/>
                <w:color w:val="auto"/>
              </w:rPr>
            </w:pPr>
          </w:p>
        </w:tc>
      </w:tr>
      <w:tr>
        <w:trPr>
          <w:trHeight w:val="184"/>
        </w:trPr>
        <w:tc>
          <w:tcPr>
            <w:tcW w:w="1000" w:type="dxa"/>
            <w:vAlign w:val="bottom"/>
          </w:tcPr>
          <w:p>
            <w:pPr>
              <w:jc w:val="right"/>
              <w:spacing w:after="0"/>
              <w:rPr>
                <w:sz w:val="20"/>
                <w:szCs w:val="20"/>
                <w:color w:val="auto"/>
              </w:rPr>
            </w:pPr>
            <w:r>
              <w:rPr>
                <w:rFonts w:ascii="Arial" w:cs="Arial" w:eastAsia="Arial" w:hAnsi="Arial"/>
                <w:sz w:val="14"/>
                <w:szCs w:val="14"/>
                <w:color w:val="auto"/>
              </w:rPr>
              <w:t>Paul Aherne</w:t>
            </w: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49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Joanne Collett</w:t>
            </w: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4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00" w:type="dxa"/>
            <w:vAlign w:val="bottom"/>
          </w:tcPr>
          <w:p>
            <w:pPr>
              <w:jc w:val="right"/>
              <w:spacing w:after="0"/>
              <w:rPr>
                <w:sz w:val="20"/>
                <w:szCs w:val="20"/>
                <w:color w:val="auto"/>
              </w:rPr>
            </w:pPr>
            <w:r>
              <w:rPr>
                <w:rFonts w:ascii="Arial" w:cs="Arial" w:eastAsia="Arial" w:hAnsi="Arial"/>
                <w:sz w:val="14"/>
                <w:szCs w:val="14"/>
                <w:color w:val="auto"/>
                <w:w w:val="94"/>
              </w:rPr>
              <w:t>Mark Cummings</w:t>
            </w: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490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iQIYI, Inc.</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tcPr>
          <w:p>
            <w:pPr>
              <w:jc w:val="right"/>
              <w:spacing w:after="0" w:line="103" w:lineRule="exact"/>
              <w:rPr>
                <w:sz w:val="20"/>
                <w:szCs w:val="20"/>
                <w:color w:val="auto"/>
              </w:rPr>
            </w:pPr>
            <w:r>
              <w:rPr>
                <w:rFonts w:ascii="Arial" w:cs="Arial" w:eastAsia="Arial" w:hAnsi="Arial"/>
                <w:sz w:val="11"/>
                <w:szCs w:val="11"/>
                <w:color w:val="auto"/>
              </w:rPr>
              <w:t>Stuart D’Addona</w:t>
            </w:r>
          </w:p>
        </w:tc>
        <w:tc>
          <w:tcPr>
            <w:tcW w:w="580" w:type="dxa"/>
            <w:vAlign w:val="bottom"/>
          </w:tcPr>
          <w:p>
            <w:pPr>
              <w:ind w:left="20"/>
              <w:spacing w:after="0" w:line="103" w:lineRule="exact"/>
              <w:rPr>
                <w:sz w:val="20"/>
                <w:szCs w:val="20"/>
                <w:color w:val="auto"/>
              </w:rPr>
            </w:pPr>
            <w:r>
              <w:rPr>
                <w:rFonts w:ascii="Arial" w:cs="Arial" w:eastAsia="Arial" w:hAnsi="Arial"/>
                <w:sz w:val="11"/>
                <w:szCs w:val="11"/>
                <w:color w:val="auto"/>
              </w:rPr>
              <w:t>****</w:t>
            </w:r>
          </w:p>
        </w:tc>
        <w:tc>
          <w:tcPr>
            <w:tcW w:w="49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w w:val="95"/>
              </w:rPr>
              <w:t>Nicholas Davies</w:t>
            </w: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4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000" w:type="dxa"/>
            <w:vAlign w:val="bottom"/>
          </w:tcPr>
          <w:p>
            <w:pPr>
              <w:jc w:val="right"/>
              <w:spacing w:after="0"/>
              <w:rPr>
                <w:sz w:val="20"/>
                <w:szCs w:val="20"/>
                <w:color w:val="auto"/>
              </w:rPr>
            </w:pPr>
            <w:r>
              <w:rPr>
                <w:rFonts w:ascii="Arial" w:cs="Arial" w:eastAsia="Arial" w:hAnsi="Arial"/>
                <w:sz w:val="14"/>
                <w:szCs w:val="14"/>
                <w:color w:val="auto"/>
              </w:rPr>
              <w:t>Shamar Ennis</w:t>
            </w: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4900" w:type="dxa"/>
            <w:vAlign w:val="bottom"/>
          </w:tcPr>
          <w:p>
            <w:pPr>
              <w:ind w:left="60"/>
              <w:spacing w:after="0"/>
              <w:rPr>
                <w:sz w:val="20"/>
                <w:szCs w:val="20"/>
                <w:color w:val="auto"/>
              </w:rPr>
            </w:pPr>
            <w:r>
              <w:rPr>
                <w:rFonts w:ascii="Arial" w:cs="Arial" w:eastAsia="Arial" w:hAnsi="Arial"/>
                <w:sz w:val="18"/>
                <w:szCs w:val="18"/>
                <w:color w:val="auto"/>
              </w:rPr>
              <w:t>Intertrust Corporate Services (Cayman) Limited,</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000" w:type="dxa"/>
            <w:vAlign w:val="bottom"/>
          </w:tcPr>
          <w:p>
            <w:pPr>
              <w:jc w:val="right"/>
              <w:spacing w:after="0" w:line="90" w:lineRule="exact"/>
              <w:rPr>
                <w:sz w:val="20"/>
                <w:szCs w:val="20"/>
                <w:color w:val="auto"/>
              </w:rPr>
            </w:pPr>
            <w:r>
              <w:rPr>
                <w:rFonts w:ascii="Arial" w:cs="Arial" w:eastAsia="Arial" w:hAnsi="Arial"/>
                <w:sz w:val="10"/>
                <w:szCs w:val="10"/>
                <w:color w:val="auto"/>
              </w:rPr>
              <w:t>James Gaden</w:t>
            </w:r>
          </w:p>
        </w:tc>
        <w:tc>
          <w:tcPr>
            <w:tcW w:w="580" w:type="dxa"/>
            <w:vAlign w:val="bottom"/>
          </w:tcPr>
          <w:p>
            <w:pPr>
              <w:ind w:left="20"/>
              <w:spacing w:after="0" w:line="90" w:lineRule="exact"/>
              <w:rPr>
                <w:sz w:val="20"/>
                <w:szCs w:val="20"/>
                <w:color w:val="auto"/>
              </w:rPr>
            </w:pPr>
            <w:r>
              <w:rPr>
                <w:rFonts w:ascii="Arial" w:cs="Arial" w:eastAsia="Arial" w:hAnsi="Arial"/>
                <w:sz w:val="10"/>
                <w:szCs w:val="10"/>
                <w:color w:val="auto"/>
              </w:rPr>
              <w:t>****</w:t>
            </w:r>
          </w:p>
        </w:tc>
        <w:tc>
          <w:tcPr>
            <w:tcW w:w="4900" w:type="dxa"/>
            <w:vAlign w:val="bottom"/>
            <w:vMerge w:val="restart"/>
          </w:tcPr>
          <w:p>
            <w:pPr>
              <w:ind w:left="60"/>
              <w:spacing w:after="0"/>
              <w:rPr>
                <w:sz w:val="20"/>
                <w:szCs w:val="20"/>
                <w:color w:val="auto"/>
              </w:rPr>
            </w:pPr>
            <w:r>
              <w:rPr>
                <w:rFonts w:ascii="Arial" w:cs="Arial" w:eastAsia="Arial" w:hAnsi="Arial"/>
                <w:sz w:val="18"/>
                <w:szCs w:val="18"/>
                <w:color w:val="auto"/>
              </w:rPr>
              <w:t>190 Elgin Avenue, George Town,</w:t>
            </w:r>
          </w:p>
        </w:tc>
        <w:tc>
          <w:tcPr>
            <w:tcW w:w="3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Kristen Kwok</w:t>
            </w: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490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00" w:type="dxa"/>
            <w:vAlign w:val="bottom"/>
          </w:tcPr>
          <w:p>
            <w:pPr>
              <w:jc w:val="right"/>
              <w:spacing w:after="0"/>
              <w:rPr>
                <w:sz w:val="20"/>
                <w:szCs w:val="20"/>
                <w:color w:val="auto"/>
              </w:rPr>
            </w:pPr>
            <w:r>
              <w:rPr>
                <w:rFonts w:ascii="Arial" w:cs="Arial" w:eastAsia="Arial" w:hAnsi="Arial"/>
                <w:sz w:val="14"/>
                <w:szCs w:val="14"/>
                <w:color w:val="auto"/>
              </w:rPr>
              <w:t>Jo Lit</w:t>
            </w: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4900" w:type="dxa"/>
            <w:vAlign w:val="bottom"/>
          </w:tcPr>
          <w:p>
            <w:pPr>
              <w:ind w:left="60"/>
              <w:spacing w:after="0" w:line="195" w:lineRule="exact"/>
              <w:rPr>
                <w:sz w:val="20"/>
                <w:szCs w:val="20"/>
                <w:color w:val="auto"/>
              </w:rPr>
            </w:pPr>
            <w:r>
              <w:rPr>
                <w:rFonts w:ascii="Arial" w:cs="Arial" w:eastAsia="Arial" w:hAnsi="Arial"/>
                <w:sz w:val="18"/>
                <w:szCs w:val="18"/>
                <w:color w:val="auto"/>
              </w:rPr>
              <w:t>Grand Cayman KY1-9005, Cayman Islands</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0" w:type="dxa"/>
            <w:vAlign w:val="bottom"/>
          </w:tcPr>
          <w:p>
            <w:pPr>
              <w:jc w:val="right"/>
              <w:spacing w:after="0" w:line="103" w:lineRule="exact"/>
              <w:rPr>
                <w:sz w:val="20"/>
                <w:szCs w:val="20"/>
                <w:color w:val="auto"/>
              </w:rPr>
            </w:pPr>
            <w:r>
              <w:rPr>
                <w:rFonts w:ascii="Arial" w:cs="Arial" w:eastAsia="Arial" w:hAnsi="Arial"/>
                <w:sz w:val="11"/>
                <w:szCs w:val="11"/>
                <w:color w:val="auto"/>
              </w:rPr>
              <w:t>Callum McNeil</w:t>
            </w:r>
          </w:p>
        </w:tc>
        <w:tc>
          <w:tcPr>
            <w:tcW w:w="580" w:type="dxa"/>
            <w:vAlign w:val="bottom"/>
          </w:tcPr>
          <w:p>
            <w:pPr>
              <w:ind w:left="20"/>
              <w:spacing w:after="0" w:line="103" w:lineRule="exact"/>
              <w:rPr>
                <w:sz w:val="20"/>
                <w:szCs w:val="20"/>
                <w:color w:val="auto"/>
              </w:rPr>
            </w:pPr>
            <w:r>
              <w:rPr>
                <w:rFonts w:ascii="Arial" w:cs="Arial" w:eastAsia="Arial" w:hAnsi="Arial"/>
                <w:sz w:val="11"/>
                <w:szCs w:val="11"/>
                <w:color w:val="auto"/>
              </w:rPr>
              <w:t>**</w:t>
            </w:r>
          </w:p>
        </w:tc>
        <w:tc>
          <w:tcPr>
            <w:tcW w:w="49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Alice Molan</w:t>
            </w: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4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w w:val="97"/>
              </w:rPr>
              <w:t>Andrew Randall</w:t>
            </w: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4900" w:type="dxa"/>
            <w:vAlign w:val="bottom"/>
            <w:vMerge w:val="restart"/>
          </w:tcPr>
          <w:p>
            <w:pPr>
              <w:ind w:left="60"/>
              <w:spacing w:after="0"/>
              <w:rPr>
                <w:sz w:val="20"/>
                <w:szCs w:val="20"/>
                <w:color w:val="auto"/>
              </w:rPr>
            </w:pPr>
            <w:r>
              <w:rPr>
                <w:rFonts w:ascii="Arial" w:cs="Arial" w:eastAsia="Arial" w:hAnsi="Arial"/>
                <w:sz w:val="18"/>
                <w:szCs w:val="18"/>
                <w:color w:val="auto"/>
              </w:rPr>
              <w:t>Dear Sirs</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0" w:type="dxa"/>
            <w:vAlign w:val="bottom"/>
          </w:tcPr>
          <w:p>
            <w:pPr>
              <w:jc w:val="right"/>
              <w:spacing w:after="0"/>
              <w:rPr>
                <w:sz w:val="20"/>
                <w:szCs w:val="20"/>
                <w:color w:val="auto"/>
              </w:rPr>
            </w:pPr>
            <w:r>
              <w:rPr>
                <w:rFonts w:ascii="Arial" w:cs="Arial" w:eastAsia="Arial" w:hAnsi="Arial"/>
                <w:sz w:val="14"/>
                <w:szCs w:val="14"/>
                <w:color w:val="auto"/>
              </w:rPr>
              <w:t>Rupen Shah</w:t>
            </w: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49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4"/>
          <w:szCs w:val="14"/>
          <w:color w:val="auto"/>
        </w:rPr>
        <w:t>Denise Wong **</w:t>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iQIYI, Inc.</w:t>
      </w:r>
    </w:p>
    <w:p>
      <w:pPr>
        <w:spacing w:after="0" w:line="252" w:lineRule="exact"/>
        <w:rPr>
          <w:sz w:val="20"/>
          <w:szCs w:val="20"/>
          <w:color w:val="auto"/>
        </w:rPr>
      </w:pPr>
    </w:p>
    <w:p>
      <w:pPr>
        <w:ind w:left="1640" w:right="120"/>
        <w:spacing w:after="0" w:line="258" w:lineRule="auto"/>
        <w:rPr>
          <w:sz w:val="20"/>
          <w:szCs w:val="20"/>
          <w:color w:val="auto"/>
        </w:rPr>
      </w:pPr>
      <w:r>
        <w:rPr>
          <w:rFonts w:ascii="Arial" w:cs="Arial" w:eastAsia="Arial" w:hAnsi="Arial"/>
          <w:sz w:val="18"/>
          <w:szCs w:val="18"/>
          <w:color w:val="auto"/>
        </w:rPr>
        <w:t>We have acted as Cayman Islands legal advisers to iQIYI, Inc.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pursuant to Rule 462(b) under the U.S. Securities Act of 1933, as amended, allowing for delayed offerings pursuant to Rule 415 of the General Rules and Regulations under the Securities Act, as the case may be.</w:t>
      </w:r>
    </w:p>
    <w:p>
      <w:pPr>
        <w:spacing w:after="0" w:line="214" w:lineRule="exact"/>
        <w:rPr>
          <w:sz w:val="20"/>
          <w:szCs w:val="20"/>
          <w:color w:val="auto"/>
        </w:rPr>
      </w:pPr>
    </w:p>
    <w:p>
      <w:pPr>
        <w:ind w:left="1640" w:right="120"/>
        <w:spacing w:after="0" w:line="259" w:lineRule="auto"/>
        <w:rPr>
          <w:sz w:val="20"/>
          <w:szCs w:val="20"/>
          <w:color w:val="auto"/>
        </w:rPr>
      </w:pPr>
      <w:r>
        <w:rPr>
          <w:rFonts w:ascii="Arial" w:cs="Arial" w:eastAsia="Arial" w:hAnsi="Arial"/>
          <w:sz w:val="18"/>
          <w:szCs w:val="18"/>
          <w:color w:val="auto"/>
        </w:rPr>
        <w:t>The Registration Statement relates to (a) the offering by the Company of American Depositary Shares, each representing seven of the Company’s Class A Ordinary Shares of a par value of US$0.00001 each (the “</w:t>
      </w:r>
      <w:r>
        <w:rPr>
          <w:rFonts w:ascii="Arial" w:cs="Arial" w:eastAsia="Arial" w:hAnsi="Arial"/>
          <w:sz w:val="18"/>
          <w:szCs w:val="18"/>
          <w:b w:val="1"/>
          <w:bCs w:val="1"/>
          <w:color w:val="auto"/>
        </w:rPr>
        <w:t>Class A Ordinary Shares</w:t>
      </w:r>
      <w:r>
        <w:rPr>
          <w:rFonts w:ascii="Arial" w:cs="Arial" w:eastAsia="Arial" w:hAnsi="Arial"/>
          <w:sz w:val="18"/>
          <w:szCs w:val="18"/>
          <w:color w:val="auto"/>
        </w:rPr>
        <w:t>”); and (b) the issuance and sale from time to time, in one or more series, of debt securities of the Company (the “</w:t>
      </w:r>
      <w:r>
        <w:rPr>
          <w:rFonts w:ascii="Arial" w:cs="Arial" w:eastAsia="Arial" w:hAnsi="Arial"/>
          <w:sz w:val="18"/>
          <w:szCs w:val="18"/>
          <w:b w:val="1"/>
          <w:bCs w:val="1"/>
          <w:color w:val="auto"/>
        </w:rPr>
        <w:t>Debt</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are furnishing this opinion as exhibit 5.1 to the Registration Statement.</w:t>
      </w:r>
    </w:p>
    <w:p>
      <w:pPr>
        <w:spacing w:after="0" w:line="252" w:lineRule="exact"/>
        <w:rPr>
          <w:sz w:val="20"/>
          <w:szCs w:val="20"/>
          <w:color w:val="auto"/>
        </w:rPr>
      </w:pPr>
    </w:p>
    <w:p>
      <w:pPr>
        <w:ind w:left="1640" w:right="100"/>
        <w:spacing w:after="0" w:line="263" w:lineRule="auto"/>
        <w:rPr>
          <w:sz w:val="20"/>
          <w:szCs w:val="20"/>
          <w:color w:val="auto"/>
        </w:rPr>
      </w:pPr>
      <w:r>
        <w:rPr>
          <w:rFonts w:ascii="Arial" w:cs="Arial" w:eastAsia="Arial" w:hAnsi="Arial"/>
          <w:sz w:val="18"/>
          <w:szCs w:val="18"/>
          <w:color w:val="auto"/>
        </w:rPr>
        <w:t>Unless otherwise provided in any prospectus supplement to the prospectus forming a part of the Registration Statement relating to a particular series of Debt Securities, the Debt Securities are to be issued under an indenture to be entered into between the Company and Citibank, N.A. as trustee.</w:t>
      </w:r>
    </w:p>
    <w:p>
      <w:pPr>
        <w:spacing w:after="0" w:line="211" w:lineRule="exact"/>
        <w:rPr>
          <w:sz w:val="20"/>
          <w:szCs w:val="20"/>
          <w:color w:val="auto"/>
        </w:rPr>
      </w:pPr>
    </w:p>
    <w:p>
      <w:pPr>
        <w:ind w:left="1640" w:right="400"/>
        <w:spacing w:after="0" w:line="277" w:lineRule="auto"/>
        <w:rPr>
          <w:sz w:val="20"/>
          <w:szCs w:val="20"/>
          <w:color w:val="auto"/>
        </w:rPr>
      </w:pPr>
      <w:r>
        <w:rPr>
          <w:rFonts w:ascii="Arial" w:cs="Arial" w:eastAsia="Arial" w:hAnsi="Arial"/>
          <w:sz w:val="18"/>
          <w:szCs w:val="18"/>
          <w:color w:val="auto"/>
        </w:rPr>
        <w:t>For the purposes of giving this opinion, we have examined and relied upon the originals, copies or translations of the documents listed in Schedule 1.</w:t>
      </w:r>
    </w:p>
    <w:p>
      <w:pPr>
        <w:spacing w:after="0" w:line="197" w:lineRule="exact"/>
        <w:rPr>
          <w:sz w:val="20"/>
          <w:szCs w:val="20"/>
          <w:color w:val="auto"/>
        </w:rPr>
      </w:pPr>
    </w:p>
    <w:p>
      <w:pPr>
        <w:ind w:left="1640" w:right="500"/>
        <w:spacing w:after="0" w:line="277" w:lineRule="auto"/>
        <w:rPr>
          <w:sz w:val="20"/>
          <w:szCs w:val="20"/>
          <w:color w:val="auto"/>
        </w:rPr>
      </w:pPr>
      <w:r>
        <w:rPr>
          <w:rFonts w:ascii="Arial" w:cs="Arial" w:eastAsia="Arial" w:hAnsi="Arial"/>
          <w:sz w:val="18"/>
          <w:szCs w:val="18"/>
          <w:color w:val="auto"/>
        </w:rPr>
        <w:t>In giving this opinion we have relied upon the assumptions set out in Schedule 2, which we have not independently verified.</w:t>
      </w:r>
    </w:p>
    <w:p>
      <w:pPr>
        <w:spacing w:after="0" w:line="19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are Cayman Islands Attorneys at Law and express no opinion as to any laws other than the laws of the</w:t>
      </w:r>
    </w:p>
    <w:p>
      <w:pPr>
        <w:spacing w:after="0" w:line="23" w:lineRule="exact"/>
        <w:rPr>
          <w:sz w:val="20"/>
          <w:szCs w:val="20"/>
          <w:color w:val="auto"/>
        </w:rPr>
      </w:pPr>
    </w:p>
    <w:p>
      <w:pPr>
        <w:jc w:val="both"/>
        <w:ind w:left="1640" w:right="40"/>
        <w:spacing w:after="0" w:line="273" w:lineRule="auto"/>
        <w:rPr>
          <w:sz w:val="20"/>
          <w:szCs w:val="20"/>
          <w:color w:val="auto"/>
        </w:rPr>
      </w:pPr>
      <w:r>
        <w:rPr>
          <w:rFonts w:ascii="Arial" w:cs="Arial" w:eastAsia="Arial" w:hAnsi="Arial"/>
          <w:sz w:val="17"/>
          <w:szCs w:val="17"/>
          <w:color w:val="auto"/>
        </w:rPr>
        <w:t>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any of the documents cited in this opinion nor upon matters of fact or the commercial terms of the transactions which are the subject of this opinion.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Walkers (Hong Kong)</w:t>
      </w:r>
    </w:p>
    <w:p>
      <w:pPr>
        <w:spacing w:after="0" w:line="117" w:lineRule="exact"/>
        <w:rPr>
          <w:sz w:val="20"/>
          <w:szCs w:val="20"/>
          <w:color w:val="auto"/>
        </w:rPr>
      </w:pPr>
    </w:p>
    <w:p>
      <w:pPr>
        <w:jc w:val="both"/>
        <w:ind w:left="10100"/>
        <w:spacing w:after="0"/>
        <w:tabs>
          <w:tab w:leader="none" w:pos="10360" w:val="left"/>
        </w:tabs>
        <w:rPr>
          <w:sz w:val="20"/>
          <w:szCs w:val="20"/>
          <w:color w:val="auto"/>
        </w:rPr>
      </w:pPr>
      <w:r>
        <w:rPr>
          <w:rFonts w:ascii="Arial" w:cs="Arial" w:eastAsia="Arial" w:hAnsi="Arial"/>
          <w:sz w:val="18"/>
          <w:szCs w:val="18"/>
          <w:b w:val="1"/>
          <w:bCs w:val="1"/>
          <w:color w:val="auto"/>
        </w:rPr>
        <w:t>(</w:t>
        <w:tab/>
        <w: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15th Floor, Alexandra House, 18 Chater Road, Central, Hong Kong</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+852 2284 4566</w:t>
      </w:r>
      <w:r>
        <w:rPr>
          <w:rFonts w:ascii="Arial" w:cs="Arial" w:eastAsia="Arial" w:hAnsi="Arial"/>
          <w:sz w:val="18"/>
          <w:szCs w:val="18"/>
          <w:b w:val="1"/>
          <w:bCs w:val="1"/>
          <w:color w:val="auto"/>
        </w:rPr>
        <w:t xml:space="preserve"> F </w:t>
      </w:r>
      <w:r>
        <w:rPr>
          <w:rFonts w:ascii="Arial" w:cs="Arial" w:eastAsia="Arial" w:hAnsi="Arial"/>
          <w:sz w:val="18"/>
          <w:szCs w:val="18"/>
          <w:color w:val="auto"/>
        </w:rPr>
        <w:t>+852 2284 4560 www.walkersglobal.com</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Bermuda | British Virgin Islands | Cayman Islands | Dubai | Guernsey | Hong Kong | Ireland | Jersey | London | Singapore</w:t>
      </w:r>
    </w:p>
    <w:p>
      <w:pPr>
        <w:spacing w:after="0" w:line="11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*England and Wales; **BVI; ***Cayman Islands; ****New South Wales (Australia); *****Ireland; ******Victoria (Australia); *******Bermuda</w:t>
      </w:r>
    </w:p>
    <w:p>
      <w:pPr>
        <w:sectPr>
          <w:pgSz w:w="11900" w:h="16838" w:orient="portrait"/>
          <w:cols w:equalWidth="0" w:num="1">
            <w:col w:w="10440"/>
          </w:cols>
          <w:pgMar w:left="1020" w:top="121" w:right="439" w:bottom="1440" w:gutter="0" w:footer="0" w:header="0"/>
        </w:sectPr>
      </w:pPr>
    </w:p>
    <w:bookmarkStart w:id="167" w:name="page168"/>
    <w:bookmarkEnd w:id="167"/>
    <w:p>
      <w:pPr>
        <w:ind w:left="1220"/>
        <w:spacing w:after="0"/>
        <w:tabs>
          <w:tab w:leader="none" w:pos="95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WALKERS</w:t>
      </w:r>
      <w:r>
        <w:rPr>
          <w:sz w:val="20"/>
          <w:szCs w:val="20"/>
          <w:color w:val="auto"/>
        </w:rPr>
        <w:tab/>
      </w:r>
      <w:r>
        <w:rPr>
          <w:rFonts w:ascii="Arial" w:cs="Arial" w:eastAsia="Arial" w:hAnsi="Arial"/>
          <w:sz w:val="15"/>
          <w:szCs w:val="15"/>
          <w:color w:val="auto"/>
        </w:rPr>
        <w:t>Page 2</w:t>
      </w:r>
    </w:p>
    <w:p>
      <w:pPr>
        <w:spacing w:after="0" w:line="196" w:lineRule="exact"/>
        <w:rPr>
          <w:sz w:val="20"/>
          <w:szCs w:val="20"/>
          <w:color w:val="auto"/>
        </w:rPr>
      </w:pPr>
    </w:p>
    <w:p>
      <w:pPr>
        <w:ind w:left="1220" w:right="20"/>
        <w:spacing w:after="0" w:line="263" w:lineRule="auto"/>
        <w:rPr>
          <w:sz w:val="20"/>
          <w:szCs w:val="20"/>
          <w:color w:val="auto"/>
        </w:rPr>
      </w:pPr>
      <w:r>
        <w:rPr>
          <w:rFonts w:ascii="Arial" w:cs="Arial" w:eastAsia="Arial" w:hAnsi="Arial"/>
          <w:sz w:val="18"/>
          <w:szCs w:val="18"/>
          <w:color w:val="auto"/>
        </w:rPr>
        <w:t>Based upon the foregoing examinations and assumptions and upon such searches as we have conducted and having regard to legal considerations which we consider relevant, and under the laws of the Cayman Islands, we give the following opinions in relation to the matters set out below.</w:t>
      </w:r>
    </w:p>
    <w:p>
      <w:pPr>
        <w:spacing w:after="0" w:line="76" w:lineRule="exact"/>
        <w:rPr>
          <w:sz w:val="20"/>
          <w:szCs w:val="20"/>
          <w:color w:val="auto"/>
        </w:rPr>
      </w:pPr>
    </w:p>
    <w:p>
      <w:pPr>
        <w:ind w:left="1560" w:right="20" w:hanging="350"/>
        <w:spacing w:after="0" w:line="277" w:lineRule="auto"/>
        <w:tabs>
          <w:tab w:leader="none" w:pos="15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is an exempted company duly incorporated with limited liability, validly existing and in good standing with the Registrar of Companies under the laws of the Cayman Islands.</w:t>
      </w:r>
    </w:p>
    <w:p>
      <w:pPr>
        <w:spacing w:after="0" w:line="62" w:lineRule="exact"/>
        <w:rPr>
          <w:rFonts w:ascii="Arial" w:cs="Arial" w:eastAsia="Arial" w:hAnsi="Arial"/>
          <w:sz w:val="18"/>
          <w:szCs w:val="18"/>
          <w:color w:val="auto"/>
        </w:rPr>
      </w:pPr>
    </w:p>
    <w:p>
      <w:pPr>
        <w:ind w:left="1560" w:right="40" w:hanging="350"/>
        <w:spacing w:after="0" w:line="275" w:lineRule="auto"/>
        <w:tabs>
          <w:tab w:leader="none" w:pos="154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authorized share capital of the Company is US$1,000,000 divided into 100,000,000,000 shares comprising of (i) 94,000,000,000 Class A ordinary shares of a par value of US$0.00001 each, (ii) 5,000,000,000 Class B ordinary shares of a par value of US$0.00001 each and (iii) 1,000,000,000 shares of a par value of US$0.00001 each of such class or classes (however designated) as the board of directors may determine in accordance with the Ninth Amended and Restated Memorandum and Articles of Association of the Company.</w:t>
      </w:r>
    </w:p>
    <w:p>
      <w:pPr>
        <w:spacing w:after="0" w:line="68" w:lineRule="exact"/>
        <w:rPr>
          <w:rFonts w:ascii="Arial" w:cs="Arial" w:eastAsia="Arial" w:hAnsi="Arial"/>
          <w:sz w:val="17"/>
          <w:szCs w:val="17"/>
          <w:color w:val="auto"/>
        </w:rPr>
      </w:pPr>
    </w:p>
    <w:p>
      <w:pPr>
        <w:ind w:left="1560" w:right="160" w:hanging="350"/>
        <w:spacing w:after="0" w:line="255" w:lineRule="auto"/>
        <w:tabs>
          <w:tab w:leader="none" w:pos="15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issue and allotment of the Class A Ordinary Shares pursuant to the Registration Statement has been duly authorised. When allotted, issued and fully paid for as contemplated in the Registration Statement and when appropriate entries have been made in the Register of Members of the Company, the Class A Ordinary Shares to be issued by the Company will be validly issued, allotted and fully paid, and there will be no further obligation on the holder of any of the Class A Ordinary Shares to make any further payment to the Company in respect of such Class A Ordinary Shares.</w:t>
      </w:r>
    </w:p>
    <w:p>
      <w:pPr>
        <w:spacing w:after="0" w:line="84" w:lineRule="exact"/>
        <w:rPr>
          <w:rFonts w:ascii="Arial" w:cs="Arial" w:eastAsia="Arial" w:hAnsi="Arial"/>
          <w:sz w:val="18"/>
          <w:szCs w:val="18"/>
          <w:color w:val="auto"/>
        </w:rPr>
      </w:pPr>
    </w:p>
    <w:p>
      <w:pPr>
        <w:ind w:left="1560" w:right="80" w:hanging="350"/>
        <w:spacing w:after="0" w:line="275" w:lineRule="auto"/>
        <w:tabs>
          <w:tab w:leader="none" w:pos="154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execution, issuance, delivery and performance of the Debt Securities have been duly authorised. Upon the execution, issuance and unconditional delivery of the Debt Securities by an Officer (as defined in the Resolutions as referred to in Schedule 1 of this opinion) for and on behalf of the Company, the Debt Securities will have been duly executed, issued and delivered on behalf of the Company and will constitute the legal, valid and binding obligations of the Company enforceable in accordance with their terms.</w:t>
      </w:r>
    </w:p>
    <w:p>
      <w:pPr>
        <w:spacing w:after="0" w:line="68" w:lineRule="exact"/>
        <w:rPr>
          <w:rFonts w:ascii="Arial" w:cs="Arial" w:eastAsia="Arial" w:hAnsi="Arial"/>
          <w:sz w:val="17"/>
          <w:szCs w:val="17"/>
          <w:color w:val="auto"/>
        </w:rPr>
      </w:pPr>
    </w:p>
    <w:p>
      <w:pPr>
        <w:ind w:left="1560" w:right="220" w:hanging="350"/>
        <w:spacing w:after="0" w:line="263" w:lineRule="auto"/>
        <w:tabs>
          <w:tab w:leader="none" w:pos="15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statements under the caption “Taxation” in the prospectus forming part of the Registration Statement, to the extent that they constitute statements of Cayman Islands law, are accurate in all material respects. Such statements constitute our opinion.</w:t>
      </w:r>
    </w:p>
    <w:p>
      <w:pPr>
        <w:spacing w:after="0" w:line="184" w:lineRule="exact"/>
        <w:rPr>
          <w:sz w:val="20"/>
          <w:szCs w:val="20"/>
          <w:color w:val="auto"/>
        </w:rPr>
      </w:pPr>
    </w:p>
    <w:p>
      <w:pPr>
        <w:ind w:left="1220" w:right="120"/>
        <w:spacing w:after="0" w:line="296" w:lineRule="auto"/>
        <w:rPr>
          <w:sz w:val="20"/>
          <w:szCs w:val="20"/>
          <w:color w:val="auto"/>
        </w:rPr>
      </w:pPr>
      <w:r>
        <w:rPr>
          <w:rFonts w:ascii="Arial" w:cs="Arial" w:eastAsia="Arial" w:hAnsi="Arial"/>
          <w:sz w:val="16"/>
          <w:szCs w:val="16"/>
          <w:color w:val="auto"/>
        </w:rPr>
        <w:t>We hereby consent to the use of this opinion in, and the filing hereof, as an exhibit to the Registration Statement and to the references to our firm under the headings “Enforceability of Civil Liabilities”, “Description of Share Capital”, “Taxation”,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61" w:lineRule="exact"/>
        <w:rPr>
          <w:sz w:val="20"/>
          <w:szCs w:val="20"/>
          <w:color w:val="auto"/>
        </w:rPr>
      </w:pPr>
    </w:p>
    <w:p>
      <w:pPr>
        <w:ind w:left="1220" w:right="380"/>
        <w:spacing w:after="0" w:line="277" w:lineRule="auto"/>
        <w:rPr>
          <w:sz w:val="20"/>
          <w:szCs w:val="20"/>
          <w:color w:val="auto"/>
        </w:rPr>
      </w:pPr>
      <w:r>
        <w:rPr>
          <w:rFonts w:ascii="Arial" w:cs="Arial" w:eastAsia="Arial" w:hAnsi="Arial"/>
          <w:sz w:val="18"/>
          <w:szCs w:val="18"/>
          <w:color w:val="auto"/>
        </w:rPr>
        <w:t>This opinion is limited to the matters referred to herein and shall not be construed as extending to any other matter or document not referred to herein.</w:t>
      </w:r>
    </w:p>
    <w:p>
      <w:pPr>
        <w:sectPr>
          <w:pgSz w:w="11900" w:h="16838" w:orient="portrait"/>
          <w:cols w:equalWidth="0" w:num="1">
            <w:col w:w="10020"/>
          </w:cols>
          <w:pgMar w:left="1440" w:top="270" w:right="439" w:bottom="1440" w:gutter="0" w:footer="0" w:header="0"/>
        </w:sectPr>
      </w:pPr>
    </w:p>
    <w:bookmarkStart w:id="168" w:name="page169"/>
    <w:bookmarkEnd w:id="168"/>
    <w:p>
      <w:pPr>
        <w:ind w:left="1220"/>
        <w:spacing w:after="0"/>
        <w:tabs>
          <w:tab w:leader="none" w:pos="95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WALKERS</w:t>
      </w:r>
      <w:r>
        <w:rPr>
          <w:sz w:val="20"/>
          <w:szCs w:val="20"/>
          <w:color w:val="auto"/>
        </w:rPr>
        <w:tab/>
      </w:r>
      <w:r>
        <w:rPr>
          <w:rFonts w:ascii="Arial" w:cs="Arial" w:eastAsia="Arial" w:hAnsi="Arial"/>
          <w:sz w:val="15"/>
          <w:szCs w:val="15"/>
          <w:color w:val="auto"/>
        </w:rPr>
        <w:t>Page 3</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opinion shall be construed in accordance with the laws of the Cayman Islands.</w:t>
      </w: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Walkers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14605</wp:posOffset>
            </wp:positionV>
            <wp:extent cx="27260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WALKERS (HONG KONG)</w:t>
      </w:r>
    </w:p>
    <w:p>
      <w:pPr>
        <w:sectPr>
          <w:pgSz w:w="11900" w:h="16838" w:orient="portrait"/>
          <w:cols w:equalWidth="0" w:num="1">
            <w:col w:w="10020"/>
          </w:cols>
          <w:pgMar w:left="1440" w:top="270" w:right="439" w:bottom="1440" w:gutter="0" w:footer="0" w:header="0"/>
        </w:sectPr>
      </w:pPr>
    </w:p>
    <w:bookmarkStart w:id="169" w:name="page170"/>
    <w:bookmarkEnd w:id="169"/>
    <w:p>
      <w:pPr>
        <w:ind w:left="1220"/>
        <w:spacing w:after="0"/>
        <w:tabs>
          <w:tab w:leader="none" w:pos="95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WALKERS</w:t>
      </w:r>
      <w:r>
        <w:rPr>
          <w:sz w:val="20"/>
          <w:szCs w:val="20"/>
          <w:color w:val="auto"/>
        </w:rPr>
        <w:tab/>
      </w:r>
      <w:r>
        <w:rPr>
          <w:rFonts w:ascii="Arial" w:cs="Arial" w:eastAsia="Arial" w:hAnsi="Arial"/>
          <w:sz w:val="15"/>
          <w:szCs w:val="15"/>
          <w:color w:val="auto"/>
        </w:rPr>
        <w:t>Page 4</w:t>
      </w:r>
    </w:p>
    <w:p>
      <w:pPr>
        <w:spacing w:after="0" w:line="200" w:lineRule="exact"/>
        <w:rPr>
          <w:sz w:val="20"/>
          <w:szCs w:val="20"/>
          <w:color w:val="auto"/>
        </w:rPr>
      </w:pPr>
    </w:p>
    <w:p>
      <w:pPr>
        <w:spacing w:after="0" w:line="208"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LIST OF DOCUMENTS EXAMINED</w:t>
      </w:r>
    </w:p>
    <w:p>
      <w:pPr>
        <w:spacing w:after="0" w:line="229" w:lineRule="exact"/>
        <w:rPr>
          <w:sz w:val="20"/>
          <w:szCs w:val="20"/>
          <w:color w:val="auto"/>
        </w:rPr>
      </w:pPr>
    </w:p>
    <w:p>
      <w:pPr>
        <w:ind w:left="1560" w:right="40" w:hanging="350"/>
        <w:spacing w:after="0" w:line="272" w:lineRule="auto"/>
        <w:tabs>
          <w:tab w:leader="none" w:pos="154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Certificate of Incorporation dated 27 November 2009, the Certificate of Incorporation on Change of Name dated 13 September 2010, the Certificate of Incorporation on Change of Name dated 5 December 2017, the Ninth Amended and Restated Memorandum and Articles of Association as conditionally adopted by special resolution on 12 March 2018 and effective immediately prior to the completion of the initial public offering of the Company’s American Depositary Shares representing its Class A Ordinary Shares (the “</w:t>
      </w:r>
      <w:r>
        <w:rPr>
          <w:rFonts w:ascii="Arial" w:cs="Arial" w:eastAsia="Arial" w:hAnsi="Arial"/>
          <w:sz w:val="17"/>
          <w:szCs w:val="17"/>
          <w:b w:val="1"/>
          <w:bCs w:val="1"/>
          <w:color w:val="auto"/>
        </w:rPr>
        <w:t>Memorandum and Articles</w:t>
      </w:r>
      <w:r>
        <w:rPr>
          <w:rFonts w:ascii="Arial" w:cs="Arial" w:eastAsia="Arial" w:hAnsi="Arial"/>
          <w:sz w:val="17"/>
          <w:szCs w:val="17"/>
          <w:color w:val="auto"/>
        </w:rPr>
        <w:t>”), Register of Members and Register of Directors of the Company, copies of which have been provided to us by the Company’s registered office (together, the “</w:t>
      </w:r>
      <w:r>
        <w:rPr>
          <w:rFonts w:ascii="Arial" w:cs="Arial" w:eastAsia="Arial" w:hAnsi="Arial"/>
          <w:sz w:val="17"/>
          <w:szCs w:val="17"/>
          <w:b w:val="1"/>
          <w:bCs w:val="1"/>
          <w:color w:val="auto"/>
        </w:rPr>
        <w:t>Company Records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560" w:hanging="350"/>
        <w:spacing w:after="0"/>
        <w:tabs>
          <w:tab w:leader="none" w:pos="1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Certificate of Good Standing dated 12 November 2020 in respect of the Company issued by the Registrar.</w:t>
      </w:r>
    </w:p>
    <w:p>
      <w:pPr>
        <w:spacing w:after="0" w:line="128" w:lineRule="exact"/>
        <w:rPr>
          <w:rFonts w:ascii="Arial" w:cs="Arial" w:eastAsia="Arial" w:hAnsi="Arial"/>
          <w:sz w:val="17"/>
          <w:szCs w:val="17"/>
          <w:color w:val="auto"/>
        </w:rPr>
      </w:pPr>
    </w:p>
    <w:p>
      <w:pPr>
        <w:ind w:left="1560" w:right="440" w:hanging="350"/>
        <w:spacing w:after="0" w:line="291" w:lineRule="auto"/>
        <w:tabs>
          <w:tab w:leader="none" w:pos="154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copy of executed written resolutions of the shareholders of the Company dated 30 November 2017, copies of executed written resolutions of the Board of Directors of the Company dated 27 February 2018 and 15</w:t>
      </w:r>
    </w:p>
    <w:p>
      <w:pPr>
        <w:ind w:left="1560" w:right="20"/>
        <w:spacing w:after="0" w:line="260" w:lineRule="auto"/>
        <w:rPr>
          <w:rFonts w:ascii="Arial" w:cs="Arial" w:eastAsia="Arial" w:hAnsi="Arial"/>
          <w:sz w:val="16"/>
          <w:szCs w:val="16"/>
          <w:color w:val="auto"/>
        </w:rPr>
      </w:pPr>
      <w:r>
        <w:rPr>
          <w:rFonts w:ascii="Arial" w:cs="Arial" w:eastAsia="Arial" w:hAnsi="Arial"/>
          <w:sz w:val="18"/>
          <w:szCs w:val="18"/>
          <w:color w:val="auto"/>
        </w:rPr>
        <w:t>December 2020 and a copy of executed written resolutions of the shareholders of the Company dated 12 March 2018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77" w:lineRule="exact"/>
        <w:rPr>
          <w:rFonts w:ascii="Arial" w:cs="Arial" w:eastAsia="Arial" w:hAnsi="Arial"/>
          <w:sz w:val="16"/>
          <w:szCs w:val="16"/>
          <w:color w:val="auto"/>
        </w:rPr>
      </w:pPr>
    </w:p>
    <w:p>
      <w:pPr>
        <w:ind w:left="1560" w:right="520" w:hanging="350"/>
        <w:spacing w:after="0" w:line="277" w:lineRule="auto"/>
        <w:tabs>
          <w:tab w:leader="none" w:pos="15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certificate from a director of the Company dated 15 December 2020, a copy of which is attached hereto (the “</w:t>
      </w:r>
      <w:r>
        <w:rPr>
          <w:rFonts w:ascii="Arial" w:cs="Arial" w:eastAsia="Arial" w:hAnsi="Arial"/>
          <w:sz w:val="18"/>
          <w:szCs w:val="18"/>
          <w:b w:val="1"/>
          <w:bCs w:val="1"/>
          <w:color w:val="auto"/>
        </w:rPr>
        <w:t>Director’s Certificate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560" w:hanging="350"/>
        <w:spacing w:after="0"/>
        <w:tabs>
          <w:tab w:leader="none" w:pos="15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17" w:lineRule="exact"/>
        <w:rPr>
          <w:rFonts w:ascii="Arial" w:cs="Arial" w:eastAsia="Arial" w:hAnsi="Arial"/>
          <w:sz w:val="18"/>
          <w:szCs w:val="18"/>
          <w:color w:val="auto"/>
        </w:rPr>
      </w:pPr>
    </w:p>
    <w:p>
      <w:pPr>
        <w:ind w:left="1560" w:right="500" w:hanging="350"/>
        <w:spacing w:after="0" w:line="277" w:lineRule="auto"/>
        <w:tabs>
          <w:tab w:leader="none" w:pos="15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copy of the form of base indenture between the Company and Citibank, N.A., as trustee, relating to the Debt Securities.</w:t>
      </w:r>
    </w:p>
    <w:p>
      <w:pPr>
        <w:sectPr>
          <w:pgSz w:w="11900" w:h="16838" w:orient="portrait"/>
          <w:cols w:equalWidth="0" w:num="1">
            <w:col w:w="10020"/>
          </w:cols>
          <w:pgMar w:left="1440" w:top="270" w:right="439" w:bottom="1440" w:gutter="0" w:footer="0" w:header="0"/>
        </w:sectPr>
      </w:pPr>
    </w:p>
    <w:bookmarkStart w:id="170" w:name="page171"/>
    <w:bookmarkEnd w:id="170"/>
    <w:p>
      <w:pPr>
        <w:ind w:left="1220"/>
        <w:spacing w:after="0"/>
        <w:tabs>
          <w:tab w:leader="none" w:pos="95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WALKERS</w:t>
      </w:r>
      <w:r>
        <w:rPr>
          <w:sz w:val="20"/>
          <w:szCs w:val="20"/>
          <w:color w:val="auto"/>
        </w:rPr>
        <w:tab/>
      </w:r>
      <w:r>
        <w:rPr>
          <w:rFonts w:ascii="Arial" w:cs="Arial" w:eastAsia="Arial" w:hAnsi="Arial"/>
          <w:sz w:val="15"/>
          <w:szCs w:val="15"/>
          <w:color w:val="auto"/>
        </w:rPr>
        <w:t>Page 5</w:t>
      </w:r>
    </w:p>
    <w:p>
      <w:pPr>
        <w:spacing w:after="0" w:line="200" w:lineRule="exact"/>
        <w:rPr>
          <w:sz w:val="20"/>
          <w:szCs w:val="20"/>
          <w:color w:val="auto"/>
        </w:rPr>
      </w:pPr>
    </w:p>
    <w:p>
      <w:pPr>
        <w:spacing w:after="0" w:line="208"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1560" w:right="140" w:hanging="350"/>
        <w:spacing w:after="0" w:line="277" w:lineRule="auto"/>
        <w:tabs>
          <w:tab w:leader="none" w:pos="154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originals of all documents examined in connection with this opinion are authentic. All documents purporting to be sealed have been so sealed. All copies are complete and conform to their originals.</w:t>
      </w:r>
    </w:p>
    <w:p>
      <w:pPr>
        <w:spacing w:after="0" w:line="62" w:lineRule="exact"/>
        <w:rPr>
          <w:rFonts w:ascii="Arial" w:cs="Arial" w:eastAsia="Arial" w:hAnsi="Arial"/>
          <w:sz w:val="18"/>
          <w:szCs w:val="18"/>
          <w:color w:val="auto"/>
        </w:rPr>
      </w:pPr>
    </w:p>
    <w:p>
      <w:pPr>
        <w:ind w:left="1560" w:right="60" w:hanging="350"/>
        <w:spacing w:after="0" w:line="277" w:lineRule="auto"/>
        <w:tabs>
          <w:tab w:leader="none" w:pos="154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Records are complete and accurate and all matters required by law and the Memorandum and Articles to be recorded therein are completely and accurately so recorded.</w:t>
      </w:r>
    </w:p>
    <w:p>
      <w:pPr>
        <w:spacing w:after="0" w:line="62" w:lineRule="exact"/>
        <w:rPr>
          <w:rFonts w:ascii="Arial" w:cs="Arial" w:eastAsia="Arial" w:hAnsi="Arial"/>
          <w:sz w:val="18"/>
          <w:szCs w:val="18"/>
          <w:color w:val="auto"/>
        </w:rPr>
      </w:pPr>
    </w:p>
    <w:p>
      <w:pPr>
        <w:ind w:left="1560" w:hanging="350"/>
        <w:spacing w:after="0"/>
        <w:tabs>
          <w:tab w:leader="none" w:pos="15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Director’s Certificate is true and correct as of the date hereof.</w:t>
      </w:r>
    </w:p>
    <w:p>
      <w:pPr>
        <w:spacing w:after="0" w:line="117" w:lineRule="exact"/>
        <w:rPr>
          <w:rFonts w:ascii="Arial" w:cs="Arial" w:eastAsia="Arial" w:hAnsi="Arial"/>
          <w:sz w:val="18"/>
          <w:szCs w:val="18"/>
          <w:color w:val="auto"/>
        </w:rPr>
      </w:pPr>
    </w:p>
    <w:p>
      <w:pPr>
        <w:ind w:left="1560" w:right="560" w:hanging="350"/>
        <w:spacing w:after="0" w:line="277" w:lineRule="auto"/>
        <w:tabs>
          <w:tab w:leader="none" w:pos="154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conversion of any shares in the capital of the Company will be effected via legally available means under Cayman Islands law.</w:t>
      </w:r>
    </w:p>
    <w:p>
      <w:pPr>
        <w:sectPr>
          <w:pgSz w:w="11900" w:h="16838" w:orient="portrait"/>
          <w:cols w:equalWidth="0" w:num="1">
            <w:col w:w="10020"/>
          </w:cols>
          <w:pgMar w:left="1440" w:top="270" w:right="439" w:bottom="1440" w:gutter="0" w:footer="0" w:header="0"/>
        </w:sectPr>
      </w:pPr>
    </w:p>
    <w:bookmarkStart w:id="171" w:name="page172"/>
    <w:bookmarkEnd w:id="171"/>
    <w:p>
      <w:pPr>
        <w:ind w:left="1220"/>
        <w:spacing w:after="0"/>
        <w:tabs>
          <w:tab w:leader="none" w:pos="95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WALKERS</w:t>
      </w:r>
      <w:r>
        <w:rPr>
          <w:sz w:val="20"/>
          <w:szCs w:val="20"/>
          <w:color w:val="auto"/>
        </w:rPr>
        <w:tab/>
      </w:r>
      <w:r>
        <w:rPr>
          <w:rFonts w:ascii="Arial" w:cs="Arial" w:eastAsia="Arial" w:hAnsi="Arial"/>
          <w:sz w:val="15"/>
          <w:szCs w:val="15"/>
          <w:color w:val="auto"/>
        </w:rPr>
        <w:t>Page 6</w:t>
      </w:r>
    </w:p>
    <w:p>
      <w:pPr>
        <w:spacing w:after="0" w:line="192"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iQIYI, Inc.</w:t>
      </w:r>
    </w:p>
    <w:p>
      <w:pPr>
        <w:spacing w:after="0" w:line="229"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Intertrust Corporate Services (Cayman) Limited,</w:t>
      </w:r>
    </w:p>
    <w:p>
      <w:pPr>
        <w:spacing w:after="0" w:line="23"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190 Elgin Avenue, George Town,</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Grand Cayman KY1-9005, Cayman Islands</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15 December 2020</w:t>
      </w: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Walkers (Hong Kong)</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15th Floor, Alexandra House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18 Chater Road, Central</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Hong Kong</w:t>
      </w:r>
    </w:p>
    <w:p>
      <w:pPr>
        <w:spacing w:after="0" w:line="23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Dear Sirs,</w:t>
      </w: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iQIYI, Inc. (the “Company”) – Director’s Certificate</w:t>
      </w:r>
    </w:p>
    <w:p>
      <w:pPr>
        <w:spacing w:after="0" w:line="27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 Yu Gong, being a director of the Company, am aware that you are being asked to provide a legal opinion (the</w:t>
      </w:r>
    </w:p>
    <w:p>
      <w:pPr>
        <w:spacing w:after="0" w:line="35" w:lineRule="exact"/>
        <w:rPr>
          <w:sz w:val="20"/>
          <w:szCs w:val="20"/>
          <w:color w:val="auto"/>
        </w:rPr>
      </w:pPr>
    </w:p>
    <w:p>
      <w:pPr>
        <w:ind w:left="1220" w:right="5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w:t>
      </w:r>
      <w:r>
        <w:rPr>
          <w:rFonts w:ascii="Arial" w:cs="Arial" w:eastAsia="Arial" w:hAnsi="Arial"/>
          <w:sz w:val="18"/>
          <w:szCs w:val="18"/>
          <w:color w:val="auto"/>
        </w:rPr>
        <w:t>”) in relation to certain aspects of Cayman Islands law. Capitalised terms used in this certificate have the meaning given to them in the Opinion. I hereby certify that:</w:t>
      </w:r>
    </w:p>
    <w:p>
      <w:pPr>
        <w:spacing w:after="0" w:line="77" w:lineRule="exact"/>
        <w:rPr>
          <w:sz w:val="20"/>
          <w:szCs w:val="20"/>
          <w:color w:val="auto"/>
        </w:rPr>
      </w:pPr>
    </w:p>
    <w:p>
      <w:pPr>
        <w:ind w:left="1560" w:hanging="350"/>
        <w:spacing w:after="0"/>
        <w:tabs>
          <w:tab w:leader="none" w:pos="15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Memorandum and Articles remain in full force and effect and are otherwise unamended;</w:t>
      </w:r>
    </w:p>
    <w:p>
      <w:pPr>
        <w:spacing w:after="0" w:line="117" w:lineRule="exact"/>
        <w:rPr>
          <w:rFonts w:ascii="Arial" w:cs="Arial" w:eastAsia="Arial" w:hAnsi="Arial"/>
          <w:sz w:val="18"/>
          <w:szCs w:val="18"/>
          <w:color w:val="auto"/>
        </w:rPr>
      </w:pPr>
    </w:p>
    <w:p>
      <w:pPr>
        <w:ind w:left="1560" w:right="120" w:hanging="350"/>
        <w:spacing w:after="0" w:line="296" w:lineRule="auto"/>
        <w:tabs>
          <w:tab w:leader="none" w:pos="155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written resolutions of the shareholders of the Company dated 30 November 2017 and 12 March 2018 were executed (and where by a corporate entity such execution has been duly authorised if so required) by and on behalf of all shareholders in the manner prescribed in the articles of association of the Company, the signatures and initials thereon are those of a person or persons in whose name the resolutions have been expressed to be signed, are in full force and effect at the date hereof and have not been amended, varied or revoked in any respect;</w:t>
      </w:r>
    </w:p>
    <w:p>
      <w:pPr>
        <w:spacing w:after="0" w:line="53" w:lineRule="exact"/>
        <w:rPr>
          <w:rFonts w:ascii="Arial" w:cs="Arial" w:eastAsia="Arial" w:hAnsi="Arial"/>
          <w:sz w:val="16"/>
          <w:szCs w:val="16"/>
          <w:color w:val="auto"/>
        </w:rPr>
      </w:pPr>
    </w:p>
    <w:p>
      <w:pPr>
        <w:ind w:left="1560" w:right="120" w:hanging="350"/>
        <w:spacing w:after="0" w:line="279" w:lineRule="auto"/>
        <w:tabs>
          <w:tab w:leader="none" w:pos="155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written resolutions of the board of directors dated 15 December 2020 were executed by all the directors in the manner prescribed in the articles of association of the Company, the signatures and initials thereon are those of a person or persons in whose name the resolutions have been expressed to be signed, are in full force and effect at the date hereof and have not been amended, varied or revoked in any respect; and</w:t>
      </w:r>
    </w:p>
    <w:p>
      <w:pPr>
        <w:spacing w:after="0" w:line="63" w:lineRule="exact"/>
        <w:rPr>
          <w:rFonts w:ascii="Arial" w:cs="Arial" w:eastAsia="Arial" w:hAnsi="Arial"/>
          <w:sz w:val="17"/>
          <w:szCs w:val="17"/>
          <w:color w:val="auto"/>
        </w:rPr>
      </w:pPr>
    </w:p>
    <w:p>
      <w:pPr>
        <w:ind w:left="1560" w:right="740" w:hanging="350"/>
        <w:spacing w:after="0" w:line="308" w:lineRule="auto"/>
        <w:tabs>
          <w:tab w:leader="none" w:pos="155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there is no contractual or other prohibition (other than as arising under Cayman Islands law) binding on the Company prohibiting it from issuing and allotting the Class A Ordinary Shares or Debt Securities.</w:t>
      </w:r>
    </w:p>
    <w:p>
      <w:pPr>
        <w:spacing w:after="0" w:line="146" w:lineRule="exact"/>
        <w:rPr>
          <w:sz w:val="20"/>
          <w:szCs w:val="20"/>
          <w:color w:val="auto"/>
        </w:rPr>
      </w:pPr>
    </w:p>
    <w:p>
      <w:pPr>
        <w:ind w:left="1220" w:right="100"/>
        <w:spacing w:after="0" w:line="277" w:lineRule="auto"/>
        <w:rPr>
          <w:sz w:val="20"/>
          <w:szCs w:val="20"/>
          <w:color w:val="auto"/>
        </w:rPr>
      </w:pPr>
      <w:r>
        <w:rPr>
          <w:rFonts w:ascii="Arial" w:cs="Arial" w:eastAsia="Arial" w:hAnsi="Arial"/>
          <w:sz w:val="18"/>
          <w:szCs w:val="18"/>
          <w:color w:val="auto"/>
        </w:rPr>
        <w:t>I confirm that you may continue to rely on this Certificate as being true and correct on the day that you issue the Opinion unless I have previously notified you personally to the contrary.</w:t>
      </w:r>
    </w:p>
    <w:p>
      <w:pPr>
        <w:spacing w:after="0" w:line="62" w:lineRule="exact"/>
        <w:rPr>
          <w:sz w:val="20"/>
          <w:szCs w:val="20"/>
          <w:color w:val="auto"/>
        </w:rPr>
      </w:pPr>
    </w:p>
    <w:p>
      <w:pPr>
        <w:ind w:left="4600"/>
        <w:spacing w:after="0"/>
        <w:rPr>
          <w:sz w:val="20"/>
          <w:szCs w:val="20"/>
          <w:color w:val="auto"/>
        </w:rPr>
      </w:pPr>
      <w:r>
        <w:rPr>
          <w:rFonts w:ascii="Arial" w:cs="Arial" w:eastAsia="Arial" w:hAnsi="Arial"/>
          <w:sz w:val="18"/>
          <w:szCs w:val="18"/>
          <w:b w:val="1"/>
          <w:bCs w:val="1"/>
          <w:i w:val="1"/>
          <w:iCs w:val="1"/>
          <w:color w:val="auto"/>
        </w:rPr>
        <w:t>[Signature Page to Follow]</w:t>
      </w:r>
    </w:p>
    <w:p>
      <w:pPr>
        <w:sectPr>
          <w:pgSz w:w="11900" w:h="16838" w:orient="portrait"/>
          <w:cols w:equalWidth="0" w:num="1">
            <w:col w:w="10020"/>
          </w:cols>
          <w:pgMar w:left="1440" w:top="270" w:right="439" w:bottom="1440" w:gutter="0" w:footer="0" w:header="0"/>
        </w:sectPr>
      </w:pPr>
    </w:p>
    <w:bookmarkStart w:id="172" w:name="page173"/>
    <w:bookmarkEnd w:id="172"/>
    <w:p>
      <w:pPr>
        <w:ind w:left="1220"/>
        <w:spacing w:after="0"/>
        <w:tabs>
          <w:tab w:leader="none" w:pos="95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WALKERS</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0020"/>
          </w:cols>
          <w:pgMar w:left="1440" w:top="270" w:right="439" w:bottom="1440" w:gutter="0" w:footer="0" w:header="0"/>
        </w:sectPr>
      </w:pPr>
    </w:p>
    <w:p>
      <w:pPr>
        <w:spacing w:after="0" w:line="196" w:lineRule="exact"/>
        <w:rPr>
          <w:sz w:val="20"/>
          <w:szCs w:val="20"/>
          <w:color w:val="auto"/>
        </w:rPr>
      </w:pPr>
    </w:p>
    <w:p>
      <w:pPr>
        <w:ind w:left="1220"/>
        <w:spacing w:after="0"/>
        <w:tabs>
          <w:tab w:leader="none" w:pos="21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Yu Gong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29210</wp:posOffset>
            </wp:positionV>
            <wp:extent cx="24428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5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Yu Gong</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0020"/>
          </w:cols>
          <w:pgMar w:left="1440" w:top="270" w:right="43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10001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 735-3000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(212) 735-2000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www.skadden.com</w:t>
      </w:r>
    </w:p>
    <w:p>
      <w:pPr>
        <w:spacing w:after="0" w:line="211"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December 15,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iQIYI,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9/F, iQIYI Innovation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2 Haidian North First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Haidian District, Beijing 100080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iQIYI, Inc.—Registration Statement on Form F-3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acted as special United States counsel to iQIYI, Inc., an exempted company with limited liability incorporated under the laws of the Cayman Islands (the “Company”), in connection with the registration statement on Form F-3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debt securities of the Company (the “Securities”), which may be issued in one or more series under an indenture (the “Indenture”) proposed to be entered into between the Company and Citibank, N.A., as trustee (in such capacity the “Trustee”).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rendering the opinion stated herein, we have examined and relied upon the Registration Statement and the form of Indenture filed as an exhibit to the Registration Statement.</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w:t>
      </w:r>
    </w:p>
    <w:p>
      <w:pPr>
        <w:sectPr>
          <w:pgSz w:w="11900" w:h="16838" w:orient="portrait"/>
          <w:cols w:equalWidth="0" w:num="1">
            <w:col w:w="11020"/>
          </w:cols>
          <w:pgMar w:left="440" w:top="121" w:right="4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do not express any opinion with respect to the laws of any jurisdiction other than the laws of the State of New York (the “Opined on Law”).</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used herein, “Transaction Agreements” means the Indenture and the supplemental indentures thereto and any applicable underwriting or purchase agreement.</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opinion stated below presumes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Agreements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Agreements and the issuance and sale of such Securities have been duly established in conformity with the memorandum and articles of association of the Company so as not to violate any applicable law or the memorandum and articles of association of the Company, or result in a default under or breach of any agreement or instrument binding upon the Company, and so as to comply with any requirement or restriction imposed by any court or governmental body having jurisdiction over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With respect to any series of Securities offered by the Company (the “Offered Debt Securities”), when (i) the general conditions shall have been satisfied, (ii) the Indenture has been qualified under the Trust Indenture Act of 1939, (iii) the issuance, sale and terms of the Offered Debt Securities and related matters have been approved and established in conformity with the applicable Transaction Agreements and (iv) the certificates evidencing the Offered Debt Securities have been issued in a form that complies with the provisions of the applicable Transaction Agreements and have been duly executed and authenticated in accordance with the provisions of the Indenture and any other applicable Transaction Agreements and issued and sold or otherwise distributed in accordance with the provisions of the applicable Transaction Agreement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opinions stated herein are subject to the following qualifications:</w:t>
      </w:r>
    </w:p>
    <w:p>
      <w:pPr>
        <w:spacing w:after="0" w:line="117" w:lineRule="exact"/>
        <w:rPr>
          <w:sz w:val="20"/>
          <w:szCs w:val="20"/>
          <w:color w:val="auto"/>
        </w:rPr>
      </w:pPr>
    </w:p>
    <w:p>
      <w:pPr>
        <w:ind w:right="200" w:firstLine="436"/>
        <w:spacing w:after="0" w:line="286" w:lineRule="auto"/>
        <w:tabs>
          <w:tab w:leader="none" w:pos="68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by general principles of equity (regardless of whether enforcement is sought in equity or at law);</w:t>
      </w:r>
    </w:p>
    <w:p>
      <w:pPr>
        <w:spacing w:after="0" w:line="57" w:lineRule="exact"/>
        <w:rPr>
          <w:rFonts w:ascii="Arial" w:cs="Arial" w:eastAsia="Arial" w:hAnsi="Arial"/>
          <w:sz w:val="17"/>
          <w:szCs w:val="17"/>
          <w:color w:val="auto"/>
        </w:rPr>
      </w:pPr>
    </w:p>
    <w:p>
      <w:pPr>
        <w:jc w:val="both"/>
        <w:ind w:right="100" w:firstLine="436"/>
        <w:spacing w:after="0" w:line="263"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Agreements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75" w:lineRule="exact"/>
        <w:rPr>
          <w:rFonts w:ascii="Arial" w:cs="Arial" w:eastAsia="Arial" w:hAnsi="Arial"/>
          <w:sz w:val="18"/>
          <w:szCs w:val="18"/>
          <w:color w:val="auto"/>
        </w:rPr>
      </w:pPr>
    </w:p>
    <w:p>
      <w:pPr>
        <w:ind w:firstLine="436"/>
        <w:spacing w:after="0" w:line="342" w:lineRule="auto"/>
        <w:tabs>
          <w:tab w:leader="none" w:pos="68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pacing w:after="0" w:line="15" w:lineRule="exact"/>
        <w:rPr>
          <w:rFonts w:ascii="Arial" w:cs="Arial" w:eastAsia="Arial" w:hAnsi="Arial"/>
          <w:sz w:val="16"/>
          <w:szCs w:val="16"/>
          <w:color w:val="auto"/>
        </w:rPr>
      </w:pPr>
    </w:p>
    <w:p>
      <w:pPr>
        <w:ind w:right="180" w:firstLine="436"/>
        <w:spacing w:after="0" w:line="259"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78" w:lineRule="exact"/>
        <w:rPr>
          <w:rFonts w:ascii="Arial" w:cs="Arial" w:eastAsia="Arial" w:hAnsi="Arial"/>
          <w:sz w:val="18"/>
          <w:szCs w:val="18"/>
          <w:color w:val="auto"/>
        </w:rPr>
      </w:pPr>
    </w:p>
    <w:p>
      <w:pPr>
        <w:ind w:right="80" w:firstLine="436"/>
        <w:spacing w:after="0" w:line="277" w:lineRule="auto"/>
        <w:tabs>
          <w:tab w:leader="none" w:pos="68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of any Transaction Agreement to the extent that such section purports to bind any Opinion Party to the exclusive jurisdiction of any particular federal court or courts;</w:t>
      </w:r>
    </w:p>
    <w:p>
      <w:pPr>
        <w:spacing w:after="0" w:line="62" w:lineRule="exact"/>
        <w:rPr>
          <w:rFonts w:ascii="Arial" w:cs="Arial" w:eastAsia="Arial" w:hAnsi="Arial"/>
          <w:sz w:val="18"/>
          <w:szCs w:val="18"/>
          <w:color w:val="auto"/>
        </w:rPr>
      </w:pPr>
    </w:p>
    <w:p>
      <w:pPr>
        <w:ind w:right="160" w:firstLine="436"/>
        <w:spacing w:after="0" w:line="259" w:lineRule="auto"/>
        <w:tabs>
          <w:tab w:leader="none" w:pos="6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call to your attention that irrespective of the agreement of the parties to any Transaction Agreement,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w:t>
      </w:r>
    </w:p>
    <w:p>
      <w:pPr>
        <w:spacing w:after="0" w:line="78"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have assumed that any agent of service will have accepted appointment as agent to receive service of process and call to your attention that we do not express any opinion if and to the extent such agent shall resign such appointment; in addition, we do not express any opinion with respect to the irrevocability of the designation of such agent to receive service of process;</w:t>
      </w:r>
    </w:p>
    <w:p>
      <w:pPr>
        <w:spacing w:after="0" w:line="75" w:lineRule="exact"/>
        <w:rPr>
          <w:rFonts w:ascii="Arial" w:cs="Arial" w:eastAsia="Arial" w:hAnsi="Arial"/>
          <w:sz w:val="18"/>
          <w:szCs w:val="18"/>
          <w:color w:val="auto"/>
        </w:rPr>
      </w:pPr>
    </w:p>
    <w:p>
      <w:pPr>
        <w:ind w:right="660" w:firstLine="436"/>
        <w:spacing w:after="0" w:line="277"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have assumed that the choice of New York law to govern the Indenture and any supplemental indenture thereto is a valid and legal provision;</w:t>
      </w:r>
    </w:p>
    <w:p>
      <w:pPr>
        <w:spacing w:after="0" w:line="62" w:lineRule="exact"/>
        <w:rPr>
          <w:rFonts w:ascii="Arial" w:cs="Arial" w:eastAsia="Arial" w:hAnsi="Arial"/>
          <w:sz w:val="18"/>
          <w:szCs w:val="18"/>
          <w:color w:val="auto"/>
        </w:rPr>
      </w:pPr>
    </w:p>
    <w:p>
      <w:pPr>
        <w:ind w:right="200" w:firstLine="436"/>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call to your attention that the opinions stated herein are subject to possible judicial action giving effect to governmental actions or laws of jurisdictions other than those with respect to which we express our opinion;</w:t>
      </w:r>
    </w:p>
    <w:p>
      <w:pPr>
        <w:spacing w:after="0" w:line="62" w:lineRule="exact"/>
        <w:rPr>
          <w:rFonts w:ascii="Arial" w:cs="Arial" w:eastAsia="Arial" w:hAnsi="Arial"/>
          <w:sz w:val="18"/>
          <w:szCs w:val="18"/>
          <w:color w:val="auto"/>
        </w:rPr>
      </w:pPr>
    </w:p>
    <w:p>
      <w:pPr>
        <w:ind w:right="140" w:firstLine="436"/>
        <w:spacing w:after="0" w:line="263"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Agreement providing for indemnity by any party thereto against any loss in obtaining the currency due to such party under any Transaction Agreement from a court judgment in another currency;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6" w:name="page177"/>
    <w:bookmarkEnd w:id="176"/>
    <w:p>
      <w:pPr>
        <w:ind w:right="20" w:firstLine="436"/>
        <w:spacing w:after="0" w:line="263"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 and</w:t>
      </w:r>
    </w:p>
    <w:p>
      <w:pPr>
        <w:spacing w:after="0" w:line="75" w:lineRule="exact"/>
        <w:rPr>
          <w:rFonts w:ascii="Arial" w:cs="Arial" w:eastAsia="Arial" w:hAnsi="Arial"/>
          <w:sz w:val="18"/>
          <w:szCs w:val="18"/>
          <w:color w:val="auto"/>
        </w:rPr>
      </w:pPr>
    </w:p>
    <w:p>
      <w:pPr>
        <w:jc w:val="both"/>
        <w:ind w:right="140" w:firstLine="436"/>
        <w:spacing w:after="0" w:line="311" w:lineRule="auto"/>
        <w:tabs>
          <w:tab w:leader="none" w:pos="65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the extent that any opinion relates to the enforceability of the choice of New York law and choice of New York forum provisions contained in any Transaction Agreement,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rendering the foregoing opinions we have assumed that:</w:t>
      </w:r>
    </w:p>
    <w:p>
      <w:pPr>
        <w:spacing w:after="0" w:line="117" w:lineRule="exact"/>
        <w:rPr>
          <w:sz w:val="20"/>
          <w:szCs w:val="20"/>
          <w:color w:val="auto"/>
        </w:rPr>
      </w:pPr>
    </w:p>
    <w:p>
      <w:pPr>
        <w:jc w:val="both"/>
        <w:ind w:right="100" w:firstLine="436"/>
        <w:spacing w:after="0" w:line="259"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Agreements to which the Company is a party;</w:t>
      </w:r>
    </w:p>
    <w:p>
      <w:pPr>
        <w:spacing w:after="0" w:line="78" w:lineRule="exact"/>
        <w:rPr>
          <w:rFonts w:ascii="Arial" w:cs="Arial" w:eastAsia="Arial" w:hAnsi="Arial"/>
          <w:sz w:val="18"/>
          <w:szCs w:val="18"/>
          <w:color w:val="auto"/>
        </w:rPr>
      </w:pPr>
    </w:p>
    <w:p>
      <w:pPr>
        <w:ind w:right="820" w:firstLine="436"/>
        <w:spacing w:after="0" w:line="277"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to execute, deliver and perform all its obligations under each of the Transaction Agreements to which the Company is a party;</w:t>
      </w:r>
    </w:p>
    <w:p>
      <w:pPr>
        <w:spacing w:after="0" w:line="62" w:lineRule="exact"/>
        <w:rPr>
          <w:rFonts w:ascii="Arial" w:cs="Arial" w:eastAsia="Arial" w:hAnsi="Arial"/>
          <w:sz w:val="18"/>
          <w:szCs w:val="18"/>
          <w:color w:val="auto"/>
        </w:rPr>
      </w:pPr>
    </w:p>
    <w:p>
      <w:pPr>
        <w:ind w:firstLine="436"/>
        <w:spacing w:after="0" w:line="273" w:lineRule="auto"/>
        <w:tabs>
          <w:tab w:leader="none" w:pos="68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to which the Company is a party nor the performance by the Company of its obligations thereunder, including the issuance and sale of the applicable Securities: (i) conflicts or will conflict with the memorandum and articles of association of the Company, (ii) constitutes or will constitute a violation of, or a default under, any lease, indenture, agreement or other instrument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 on Law); and</w:t>
      </w:r>
    </w:p>
    <w:p>
      <w:pPr>
        <w:spacing w:after="0" w:line="69" w:lineRule="exact"/>
        <w:rPr>
          <w:rFonts w:ascii="Arial" w:cs="Arial" w:eastAsia="Arial" w:hAnsi="Arial"/>
          <w:sz w:val="17"/>
          <w:szCs w:val="17"/>
          <w:color w:val="auto"/>
        </w:rPr>
      </w:pPr>
    </w:p>
    <w:p>
      <w:pPr>
        <w:jc w:val="both"/>
        <w:ind w:right="260" w:firstLine="436"/>
        <w:spacing w:after="0" w:line="259"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the Transaction Agreements to which the Company is a party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we note that (a) the enforceability in the United States of the waiver in Section 16.14 of the Indenture by the Company of any immunities from court jurisdiction and from legal process is subject to the limitations imposed by the U.S. Foreign Sovereign Immunities Act of 1976 and (b) the designation in Section 16.13 of the Indenture of any U.S. federal or New York State court located in the Borough of Manhattan, The City of New York, as the venue for actions or proceedings relating to the Indenture and the Securities is (notwithstanding the waiver in Section 16.13) subject to the power of such courts to transfer actions pursuant to 28 U.S.C. § 1404(a) or to dismiss such actions or proceedings on the grounds that such a federal court is an inconvenient forum for such actions or proceedings.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77" w:name="page178"/>
    <w:bookmarkEnd w:id="17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hereby consent to the filing of this opinion with the Commission as an exhibit to the Registration Statement. We also hereby consent to the reference to our firm under the heading “Legal Matters” in the prospectus forming a part of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Skadden, Arps, Slate, Meagher &amp; Flom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171450</wp:posOffset>
            </wp:positionV>
            <wp:extent cx="2511425" cy="4883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2511425" cy="48831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814705</wp:posOffset>
            </wp:positionV>
            <wp:extent cx="4534535" cy="522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45345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iQIYI,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Certain PRC Law Matters of iQIYI, Inc.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are qualified lawyers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for the purpose of issuing this opinion, excluding Hong Kong Special Administration Region, Macau Special Administration Region and Taiwan) and as such are qualified to issue this opinion with respect to all laws, regulations, statutes, rules, decrees, guidelines, notices, and judicial interpretations and other legislations of the PRC currently in force and publicly available as of the date hereof (hereinafter referred to as the “</w:t>
      </w:r>
      <w:r>
        <w:rPr>
          <w:rFonts w:ascii="Arial" w:cs="Arial" w:eastAsia="Arial" w:hAnsi="Arial"/>
          <w:sz w:val="18"/>
          <w:szCs w:val="18"/>
          <w:b w:val="1"/>
          <w:bCs w:val="1"/>
          <w:color w:val="auto"/>
        </w:rPr>
        <w:t>PRC Laws</w:t>
      </w:r>
      <w:r>
        <w:rPr>
          <w:rFonts w:ascii="Arial" w:cs="Arial" w:eastAsia="Arial" w:hAnsi="Arial"/>
          <w:sz w:val="18"/>
          <w:szCs w:val="18"/>
          <w:color w:val="auto"/>
        </w:rPr>
        <w:t>”).</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acted as your PRC legal counsel in connection with the Company’s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U.S. Securities Act of 1933,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as used in this opinion are defined as follows.</w:t>
      </w:r>
    </w:p>
    <w:p>
      <w:pPr>
        <w:spacing w:after="0" w:line="22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M&amp;A Rules</w:t>
      </w:r>
      <w:r>
        <w:rPr>
          <w:rFonts w:ascii="Arial" w:cs="Arial" w:eastAsia="Arial" w:hAnsi="Arial"/>
          <w:sz w:val="18"/>
          <w:szCs w:val="18"/>
          <w:color w:val="auto"/>
        </w:rPr>
        <w:t>” means the Regulations on Mergers and Acquisitions of Domestic Enterprises by Foreign Investors, which was issued by six PRC regulatory agencies, namely, the Ministry of Commerce, the State-owned Assets Supervision and Administration Commission, the State Administration for Taxation, the State Administration for Industry and Commerce, China Securities Regulatory Commission (the “</w:t>
      </w:r>
      <w:r>
        <w:rPr>
          <w:rFonts w:ascii="Arial" w:cs="Arial" w:eastAsia="Arial" w:hAnsi="Arial"/>
          <w:sz w:val="18"/>
          <w:szCs w:val="18"/>
          <w:b w:val="1"/>
          <w:bCs w:val="1"/>
          <w:color w:val="auto"/>
        </w:rPr>
        <w:t>CSRC</w:t>
      </w:r>
      <w:r>
        <w:rPr>
          <w:rFonts w:ascii="Arial" w:cs="Arial" w:eastAsia="Arial" w:hAnsi="Arial"/>
          <w:sz w:val="18"/>
          <w:szCs w:val="18"/>
          <w:color w:val="auto"/>
        </w:rPr>
        <w:t>”) and the State Administration for Foreign Exchange, on August 8, 2006 and became effective on September 8, 2006, as amended by the Ministry of Commerce on June 22,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 Entities</w:t>
      </w:r>
      <w:r>
        <w:rPr>
          <w:rFonts w:ascii="Arial" w:cs="Arial" w:eastAsia="Arial" w:hAnsi="Arial"/>
          <w:sz w:val="18"/>
          <w:szCs w:val="18"/>
          <w:color w:val="auto"/>
        </w:rPr>
        <w:t>” means the PRC Subsidiaries and the Consolidated Affiliated Entities collectively.</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 Subsidiaries</w:t>
      </w:r>
      <w:r>
        <w:rPr>
          <w:rFonts w:ascii="Arial" w:cs="Arial" w:eastAsia="Arial" w:hAnsi="Arial"/>
          <w:sz w:val="18"/>
          <w:szCs w:val="18"/>
          <w:color w:val="auto"/>
        </w:rPr>
        <w:t>” means Beijing Qiyi Century Science &amp; Technology Co., Ltd., Beijing iQiyi New Media Science and Technology Co., Ltd, each a wholly foreign-owned enterprise.</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Affiliated Entities</w:t>
      </w:r>
      <w:r>
        <w:rPr>
          <w:rFonts w:ascii="Arial" w:cs="Arial" w:eastAsia="Arial" w:hAnsi="Arial"/>
          <w:sz w:val="18"/>
          <w:szCs w:val="18"/>
          <w:color w:val="auto"/>
        </w:rPr>
        <w:t>” means Beijing iQiyi Science &amp; Technology Co., Ltd., Shanghai iQiyi Culture Media Co., Ltd., Shanghai Zhong Yuan Network Co., Ltd., iQiyi Pictures (Beijing) Co., Ltd., Beijing Shiguo Technology Co., Ltd. and Beijing iQiyi Intelligent Entertainment Technology Co., Ltd..</w:t>
      </w:r>
    </w:p>
    <w:p>
      <w:pPr>
        <w:sectPr>
          <w:pgSz w:w="11900" w:h="16838" w:orient="portrait"/>
          <w:cols w:equalWidth="0" w:num="1">
            <w:col w:w="11020"/>
          </w:cols>
          <w:pgMar w:left="440" w:top="121" w:right="439" w:bottom="1440" w:gutter="0" w:footer="0" w:header="0"/>
        </w:sectPr>
      </w:pPr>
    </w:p>
    <w:bookmarkStart w:id="179" w:name="page180"/>
    <w:bookmarkEnd w:id="179"/>
    <w:p>
      <w:pPr>
        <w:ind w:left="4"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 of giving this opinion, we have examined the originals or copies, certified or otherwise identified to our satisfaction, of corporate records, agreements, documents and other instruments provided to us and such other documents or certificates issued by governmental authorities or representations made by officials of government authorities or other public organizations and by officers or representatives of the Company as we have deemed necessary and appropriate as a basis for the opinions hereinafter set forth.</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rendering the opinions expressed below, we have assumed:</w:t>
      </w:r>
    </w:p>
    <w:p>
      <w:pPr>
        <w:spacing w:after="0" w:line="252"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authenticity of the documents submitted to us as originals and the conformity to the originals of the documents submitted to us as copies;</w:t>
      </w:r>
    </w:p>
    <w:p>
      <w:pPr>
        <w:spacing w:after="0" w:line="263" w:lineRule="exact"/>
        <w:rPr>
          <w:rFonts w:ascii="Arial" w:cs="Arial" w:eastAsia="Arial" w:hAnsi="Arial"/>
          <w:sz w:val="17"/>
          <w:szCs w:val="17"/>
          <w:color w:val="auto"/>
        </w:rPr>
      </w:pPr>
    </w:p>
    <w:p>
      <w:pPr>
        <w:ind w:left="424" w:right="80" w:hanging="424"/>
        <w:spacing w:after="0" w:line="277"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truthfulness, accuracy and completeness of all corporate minutes, resolutions and documents of or in connection with the PRC Entities as they were presented to us;</w:t>
      </w:r>
    </w:p>
    <w:p>
      <w:pPr>
        <w:spacing w:after="0" w:line="197"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the documents and the corporate minutes and resolutions which have been presented to us remain in full force and effect as of the date hereof and have not been revoked, amended, varied or supplemented, except as noted therein;</w:t>
      </w:r>
    </w:p>
    <w:p>
      <w:pPr>
        <w:spacing w:after="0" w:line="197" w:lineRule="exact"/>
        <w:rPr>
          <w:rFonts w:ascii="Arial" w:cs="Arial" w:eastAsia="Arial" w:hAnsi="Arial"/>
          <w:sz w:val="18"/>
          <w:szCs w:val="18"/>
          <w:color w:val="auto"/>
        </w:rPr>
      </w:pPr>
    </w:p>
    <w:p>
      <w:pPr>
        <w:ind w:left="424" w:hanging="424"/>
        <w:spacing w:after="0" w:line="272" w:lineRule="auto"/>
        <w:tabs>
          <w:tab w:leader="none" w:pos="42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 response to our due diligence inquiries, requests and investigation for the purpose of this opinion, all the relevant information and materials that have been provided to us by the Company and the PRC Entities, including all factual statements in the documents and all other factual information provided to us by the Company and the PRC Entities, and the statements made by the Company, the PRC Entities and relevant government officials, are true, accurate, complete and not misleading, and that the Company has not withheld anything that, if disclosed to us, would reasonably cause us to alter this opinion in whole or in part. Where important facts were not independently established to us, we have relied upon certificates issued by governmental authorities and appropriate representatives of the Company and/or other relevant entities and/or upon representations made by such persons in the course of our inquiry and consultation;</w:t>
      </w:r>
    </w:p>
    <w:p>
      <w:pPr>
        <w:spacing w:after="0" w:line="204" w:lineRule="exact"/>
        <w:rPr>
          <w:rFonts w:ascii="Arial" w:cs="Arial" w:eastAsia="Arial" w:hAnsi="Arial"/>
          <w:sz w:val="17"/>
          <w:szCs w:val="17"/>
          <w:color w:val="auto"/>
        </w:rPr>
      </w:pPr>
    </w:p>
    <w:p>
      <w:pPr>
        <w:ind w:left="424" w:hanging="424"/>
        <w:spacing w:after="0" w:line="263"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that all parties to the documents provided to us in connection with this opinion, other than the PRC Entities, have the requisite power and authority to enter into, and have duly executed, delivered and/or issued those documents to which they are parties, and have the requisite power and authority to perform their obligations thereunder; and</w:t>
      </w:r>
    </w:p>
    <w:p>
      <w:pPr>
        <w:spacing w:after="0" w:line="21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all parties, the due compliance with, and the legality, validity, effectiveness and enforceability under, all laws other than the laws of the PRC.</w:t>
      </w:r>
    </w:p>
    <w:p>
      <w:pPr>
        <w:sectPr>
          <w:pgSz w:w="11900" w:h="16838" w:orient="portrait"/>
          <w:cols w:equalWidth="0" w:num="1">
            <w:col w:w="11004"/>
          </w:cols>
          <w:pgMar w:left="436" w:top="274" w:right="459" w:bottom="1440" w:gutter="0" w:footer="0" w:header="0"/>
        </w:sectPr>
      </w:pPr>
    </w:p>
    <w:bookmarkStart w:id="180" w:name="page181"/>
    <w:bookmarkEnd w:id="180"/>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do not purport to be experts on and do not purport to be generally familiar with or qualified to express legal opinions on any laws other than the laws of the PRC and accordingly express no legal opinion herein on any laws of any jurisdiction other than the PRC.</w:t>
      </w:r>
    </w:p>
    <w:p>
      <w:pPr>
        <w:spacing w:after="0" w:line="170"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Based on the foregoing and subject to the qualifications set out below, we are of the opinion that, as of the date hereof, so far as PRC Laws are concerned:</w:t>
      </w:r>
    </w:p>
    <w:p>
      <w:pPr>
        <w:spacing w:after="0" w:line="197" w:lineRule="exact"/>
        <w:rPr>
          <w:sz w:val="20"/>
          <w:szCs w:val="20"/>
          <w:color w:val="auto"/>
        </w:rPr>
      </w:pPr>
    </w:p>
    <w:p>
      <w:pPr>
        <w:ind w:left="424" w:right="60" w:hanging="424"/>
        <w:spacing w:after="0" w:line="254"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our understanding of the current PRC Laws, (i) the ownership structures of the Consolidated Affiliated Entities and the PRC Subsidiaries, both currently and immediately after giving effect to the Registration Statement, do not and will not contravene any applicable PRC Laws currently in effect; and (ii) the contractual arrangements among the PRC Subsidiaries, the Consolidated Affiliated Entities and their respective shareholder(s) governed by PRC Laws are valid and binding upon each party to such arrangements and enforceable against each party thereto in accordance with their terms and applicable PRC Laws currently in effect, and will not contravene any PRC Laws currently in effect. However, there are substantial uncertainties regarding the interpretation and application of PRC Laws and future PRC laws and regulations, and there can be no assurance that the PRC regulatory authorities will not take a view that is contrary to or otherwise different from our opinion stated above.</w:t>
      </w:r>
    </w:p>
    <w:p>
      <w:pPr>
        <w:spacing w:after="0" w:line="218" w:lineRule="exact"/>
        <w:rPr>
          <w:rFonts w:ascii="Arial" w:cs="Arial" w:eastAsia="Arial" w:hAnsi="Arial"/>
          <w:sz w:val="18"/>
          <w:szCs w:val="18"/>
          <w:color w:val="auto"/>
        </w:rPr>
      </w:pPr>
    </w:p>
    <w:p>
      <w:pPr>
        <w:ind w:left="424" w:hanging="424"/>
        <w:spacing w:after="0" w:line="291" w:lineRule="auto"/>
        <w:tabs>
          <w:tab w:leader="none" w:pos="42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recognition and enforcement of foreign judgments are provided for under the PRC Civil Procedures Law. PRC courts may recognize and enforce foreign judgments in accordance with the requirements of PRC Civil Procedures Law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a company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the Cayman Islands.</w:t>
      </w:r>
    </w:p>
    <w:p>
      <w:pPr>
        <w:spacing w:after="0" w:line="193" w:lineRule="exact"/>
        <w:rPr>
          <w:rFonts w:ascii="Arial" w:cs="Arial" w:eastAsia="Arial" w:hAnsi="Arial"/>
          <w:sz w:val="16"/>
          <w:szCs w:val="16"/>
          <w:color w:val="auto"/>
        </w:rPr>
      </w:pPr>
    </w:p>
    <w:p>
      <w:pPr>
        <w:ind w:left="424" w:hanging="424"/>
        <w:spacing w:after="0" w:line="263"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statements made in the Registration Statement under the caption “Taxation—PRC Taxation,” with respect to the PRC tax laws and regulations or interpretations, constitute true and accurate descriptions of the matters described therein in all material aspects and such statements represent our opinion.</w:t>
      </w:r>
    </w:p>
    <w:p>
      <w:pPr>
        <w:spacing w:after="0" w:line="210" w:lineRule="exact"/>
        <w:rPr>
          <w:rFonts w:ascii="Arial" w:cs="Arial" w:eastAsia="Arial" w:hAnsi="Arial"/>
          <w:sz w:val="18"/>
          <w:szCs w:val="18"/>
          <w:color w:val="auto"/>
        </w:rPr>
      </w:pPr>
    </w:p>
    <w:p>
      <w:pPr>
        <w:ind w:left="424" w:right="60" w:hanging="424"/>
        <w:spacing w:after="0" w:line="279" w:lineRule="auto"/>
        <w:tabs>
          <w:tab w:leader="none" w:pos="42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To the best of our knowledge after due and reasonable inquiry, the statements set forth in the Registration Statement under the captions “Enforceability of Civil Liabilities”, in each case insofar as such statements describe or summarize PRC legal or regulatory matters, are true and accurate in all material aspects, and correctly set forth therein, and nothing has come to our attention, insofar as the PRC Laws are concerned, that causes us to believe that there is any omission which will cause such statements misleading in any material respect.</w:t>
      </w:r>
    </w:p>
    <w:p>
      <w:pPr>
        <w:sectPr>
          <w:pgSz w:w="11900" w:h="16838" w:orient="portrait"/>
          <w:cols w:equalWidth="0" w:num="1">
            <w:col w:w="11004"/>
          </w:cols>
          <w:pgMar w:left="436" w:top="274" w:right="459" w:bottom="1440" w:gutter="0" w:footer="0" w:header="0"/>
        </w:sectPr>
      </w:pPr>
    </w:p>
    <w:bookmarkStart w:id="181" w:name="page182"/>
    <w:bookmarkEnd w:id="18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opinion is further subject to the following qualifications:</w:t>
      </w:r>
    </w:p>
    <w:p>
      <w:pPr>
        <w:spacing w:after="0" w:line="252" w:lineRule="exact"/>
        <w:rPr>
          <w:sz w:val="20"/>
          <w:szCs w:val="20"/>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 express no opinion as to any Laws other than the PRC Laws in force on the date of this opinion;</w:t>
      </w:r>
    </w:p>
    <w:p>
      <w:pPr>
        <w:spacing w:after="0" w:line="252"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PRC Laws referred to herein are Laws currently in force and there is no guarantee that any of such Laws, or the interpretation thereof or enforcement therefore, will not be changed, amended or replaced in the immediate future or in the longer term with or without retrospective effect;</w:t>
      </w:r>
    </w:p>
    <w:p>
      <w:pPr>
        <w:spacing w:after="0" w:line="150"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this opinion is intended to be used in the context which is specifically referred to herein and each section should be looked on as a whole regarding the same subject matter; and</w:t>
      </w:r>
    </w:p>
    <w:p>
      <w:pPr>
        <w:spacing w:after="0" w:line="197" w:lineRule="exact"/>
        <w:rPr>
          <w:rFonts w:ascii="Arial" w:cs="Arial" w:eastAsia="Arial" w:hAnsi="Arial"/>
          <w:sz w:val="18"/>
          <w:szCs w:val="18"/>
          <w:color w:val="auto"/>
        </w:rPr>
      </w:pPr>
    </w:p>
    <w:p>
      <w:pPr>
        <w:ind w:left="424" w:right="80" w:hanging="424"/>
        <w:spacing w:after="0" w:line="254" w:lineRule="auto"/>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this opinion is subject to the effects of (i) certain legal or statutory principles affecting the validity and enforceability of contractual rights generally under the concepts of public interest, social ethics, national security, good faith, fair dealing, and applicable statutes of limitation; (ii) any circumstance in connection with formulation, execution or performance of any legal documents that would be deemed materially mistaken, clearly unconscionable, fraudulent, coercionary or concealing illegal intentions with a lawful form; (iii) judicial discretion with respect to the availability of indemnifications, remedies or defenses, the calculation of damages, the entitlement to attorney’s fees and other costs, and the waiver of immunity from jurisdiction of any court or from legal process; and (iv) the discretion of any competent PRC legislative, administrative or judicial bodies in exercising their authority in the PRC.</w:t>
      </w:r>
    </w:p>
    <w:p>
      <w:pPr>
        <w:spacing w:after="0" w:line="19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This opinion is delivered in our capacity as the Company’s PRC legal counsel solely for the purpose of the Registration Statement publicly submitted to the SEC on the date of this opinion and may not be used for any other purpose without our prior written consent.</w:t>
      </w:r>
    </w:p>
    <w:p>
      <w:pPr>
        <w:spacing w:after="0" w:line="170"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We hereby consent to the use of this opinion in, and the filing hereof as an exhibit to, the Registration Statement, and to the reference to our name in such Registration Statement. We do not thereby admit that we fall within the category of the persons whose consent is required under Section 7 of the U.S. Securities Act of 1933, as amended, or the regulations promulgated thereunder.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Jingtian &amp; Gongcheng</w:t>
      </w:r>
    </w:p>
    <w:p>
      <w:pPr>
        <w:sectPr>
          <w:pgSz w:w="11900" w:h="16838" w:orient="portrait"/>
          <w:cols w:equalWidth="0" w:num="1">
            <w:col w:w="11004"/>
          </w:cols>
          <w:pgMar w:left="436" w:top="274" w:right="45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IQIYI,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6"/>
          <w:szCs w:val="16"/>
          <w:b w:val="1"/>
          <w:bCs w:val="1"/>
          <w:color w:val="auto"/>
        </w:rPr>
        <w:t>Establishment &amp; Purpose</w:t>
      </w:r>
    </w:p>
    <w:p>
      <w:pPr>
        <w:spacing w:after="0" w:line="117"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iQIYI, Inc. (previously named “Qiyi.com, Inc.”), an exempted company incorporated under the laws of the Cayman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hereby establishes the 2010 Equity Incentive Plan (this “</w:t>
      </w:r>
      <w:r>
        <w:rPr>
          <w:rFonts w:ascii="Arial" w:cs="Arial" w:eastAsia="Arial" w:hAnsi="Arial"/>
          <w:sz w:val="18"/>
          <w:szCs w:val="18"/>
          <w:u w:val="single" w:color="auto"/>
          <w:color w:val="auto"/>
        </w:rPr>
        <w:t>Plan</w:t>
      </w:r>
      <w:r>
        <w:rPr>
          <w:rFonts w:ascii="Arial" w:cs="Arial" w:eastAsia="Arial" w:hAnsi="Arial"/>
          <w:sz w:val="18"/>
          <w:szCs w:val="18"/>
          <w:color w:val="auto"/>
        </w:rPr>
        <w:t>”) as set forth herein.</w:t>
      </w:r>
    </w:p>
    <w:p>
      <w:pPr>
        <w:spacing w:after="0" w:line="162" w:lineRule="exact"/>
        <w:rPr>
          <w:sz w:val="20"/>
          <w:szCs w:val="20"/>
          <w:color w:val="auto"/>
        </w:rPr>
      </w:pPr>
    </w:p>
    <w:p>
      <w:pPr>
        <w:ind w:right="160" w:firstLine="440"/>
        <w:spacing w:after="0" w:line="314" w:lineRule="auto"/>
        <w:rPr>
          <w:sz w:val="20"/>
          <w:szCs w:val="20"/>
          <w:color w:val="auto"/>
        </w:rPr>
      </w:pPr>
      <w:r>
        <w:rPr>
          <w:rFonts w:ascii="Arial" w:cs="Arial" w:eastAsia="Arial" w:hAnsi="Arial"/>
          <w:sz w:val="16"/>
          <w:szCs w:val="16"/>
          <w:b w:val="1"/>
          <w:bCs w:val="1"/>
          <w:color w:val="auto"/>
        </w:rPr>
        <w:t>1.2 Purpose of this Plan</w:t>
      </w:r>
      <w:r>
        <w:rPr>
          <w:rFonts w:ascii="Arial" w:cs="Arial" w:eastAsia="Arial" w:hAnsi="Arial"/>
          <w:sz w:val="16"/>
          <w:szCs w:val="16"/>
          <w:color w:val="auto"/>
        </w:rPr>
        <w:t>. The purpose of this Plan is to attract, retain and motivate the officers, directors, employees and consultants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its Subsidiaries and Affiliates, and to promote the success of the Company’s business by providing them with appropriate incentives and rewards either through a proprietary interest in the long-term success of the Company or compensation based on fulfilling certain performance goals.</w:t>
      </w:r>
    </w:p>
    <w:p>
      <w:pPr>
        <w:spacing w:after="0" w:line="2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Capitalized terms used and not otherwise defined herein shall have the meanings set forth below.</w:t>
      </w:r>
    </w:p>
    <w:p>
      <w:pPr>
        <w:spacing w:after="0" w:line="221"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any entity that the Company, either directly or indirectly, is in common control with, is controlled by or controls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entity in which the Company has a substantial direct or indirect equity interest, as determined by the Board.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Award</w:t>
      </w:r>
      <w:r>
        <w:rPr>
          <w:rFonts w:ascii="Arial" w:cs="Arial" w:eastAsia="Arial" w:hAnsi="Arial"/>
          <w:sz w:val="17"/>
          <w:szCs w:val="17"/>
          <w:color w:val="auto"/>
        </w:rPr>
        <w:t>” means any Option, Stock Appreciation Right, Restricted Stock, or Other Stock-Based Award that is granted under this Plan.</w:t>
      </w:r>
    </w:p>
    <w:p>
      <w:pPr>
        <w:spacing w:after="0" w:line="237"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either (a) a written agreement entered into by the Company and a Participant setting forth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applicable to an Award granted under this Plan, or (b) a written statement signed by an authorized officer of the Company to a Participant describing the terms and provisions of the actual grant of such Award.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unless otherwise specified in the Award Agreement, means an event or series of events that results in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67" w:lineRule="exact"/>
        <w:rPr>
          <w:sz w:val="20"/>
          <w:szCs w:val="20"/>
          <w:color w:val="auto"/>
        </w:rPr>
      </w:pPr>
    </w:p>
    <w:p>
      <w:pPr>
        <w:ind w:left="1420" w:right="20" w:hanging="439"/>
        <w:spacing w:after="0" w:line="274" w:lineRule="auto"/>
        <w:tabs>
          <w:tab w:leader="none" w:pos="1420" w:val="left"/>
        </w:tabs>
        <w:numPr>
          <w:ilvl w:val="0"/>
          <w:numId w:val="179"/>
        </w:numPr>
        <w:rPr>
          <w:rFonts w:ascii="Arial" w:cs="Arial" w:eastAsia="Arial" w:hAnsi="Arial"/>
          <w:sz w:val="17"/>
          <w:szCs w:val="17"/>
          <w:color w:val="auto"/>
        </w:rPr>
      </w:pPr>
      <w:r>
        <w:rPr>
          <w:rFonts w:ascii="Arial" w:cs="Arial" w:eastAsia="Arial" w:hAnsi="Arial"/>
          <w:sz w:val="17"/>
          <w:szCs w:val="17"/>
          <w:b w:val="1"/>
          <w:bCs w:val="1"/>
          <w:color w:val="auto"/>
        </w:rPr>
        <w:t>Change in Ownership of the Company</w:t>
      </w:r>
      <w:r>
        <w:rPr>
          <w:rFonts w:ascii="Arial" w:cs="Arial" w:eastAsia="Arial" w:hAnsi="Arial"/>
          <w:sz w:val="17"/>
          <w:szCs w:val="17"/>
          <w:color w:val="auto"/>
        </w:rPr>
        <w:t>. A change in the ownership of the Company occurs on the date that any one Person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than one Person acting as a group, other than a Subsidiary, acquires ownership of stock of the Company that, together with stock held by such Person or group, constitutes more than fifty percent (50%) of the total voting power of stock of the Company. However, if any one Person (or more than one Person acting as a group) is considered to own more than fifty percent (50%) of the total fair market value or total voting power of the Company’s stock prior to the acquisition, any acquisition of additional stock by the same Person or Persons is not considered to cause a change in the ownership of the Company;</w:t>
      </w:r>
    </w:p>
    <w:p>
      <w:pPr>
        <w:spacing w:after="0" w:line="78" w:lineRule="exact"/>
        <w:rPr>
          <w:rFonts w:ascii="Arial" w:cs="Arial" w:eastAsia="Arial" w:hAnsi="Arial"/>
          <w:sz w:val="17"/>
          <w:szCs w:val="17"/>
          <w:color w:val="auto"/>
        </w:rPr>
      </w:pPr>
    </w:p>
    <w:p>
      <w:pPr>
        <w:ind w:left="1420" w:right="220" w:hanging="439"/>
        <w:spacing w:after="0" w:line="312" w:lineRule="auto"/>
        <w:tabs>
          <w:tab w:leader="none" w:pos="1420" w:val="left"/>
        </w:tabs>
        <w:numPr>
          <w:ilvl w:val="0"/>
          <w:numId w:val="179"/>
        </w:numPr>
        <w:rPr>
          <w:rFonts w:ascii="Arial" w:cs="Arial" w:eastAsia="Arial" w:hAnsi="Arial"/>
          <w:sz w:val="17"/>
          <w:szCs w:val="17"/>
          <w:color w:val="auto"/>
        </w:rPr>
      </w:pPr>
      <w:r>
        <w:rPr>
          <w:rFonts w:ascii="Arial" w:cs="Arial" w:eastAsia="Arial" w:hAnsi="Arial"/>
          <w:sz w:val="17"/>
          <w:szCs w:val="17"/>
          <w:b w:val="1"/>
          <w:bCs w:val="1"/>
          <w:color w:val="auto"/>
        </w:rPr>
        <w:t>Change in Ownership of a Substantial Portion of the Company’s Assets</w:t>
      </w:r>
      <w:r>
        <w:rPr>
          <w:rFonts w:ascii="Arial" w:cs="Arial" w:eastAsia="Arial" w:hAnsi="Arial"/>
          <w:sz w:val="17"/>
          <w:szCs w:val="17"/>
          <w:color w:val="auto"/>
        </w:rPr>
        <w:t>. A change in the ownership of a substantial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assets occurs on the date that any one Person, or more than one Person acting as a group, other</w:t>
      </w:r>
    </w:p>
    <w:p>
      <w:pPr>
        <w:sectPr>
          <w:pgSz w:w="11900" w:h="16838" w:orient="portrait"/>
          <w:cols w:equalWidth="0" w:num="1">
            <w:col w:w="11020"/>
          </w:cols>
          <w:pgMar w:left="440" w:top="121" w:right="439" w:bottom="1440" w:gutter="0" w:footer="0" w:header="0"/>
        </w:sectPr>
      </w:pPr>
    </w:p>
    <w:bookmarkStart w:id="183" w:name="page184"/>
    <w:bookmarkEnd w:id="183"/>
    <w:p>
      <w:pPr>
        <w:ind w:left="1420"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 any Subsidiary, acquires (or has acquired during the 12-month period ending on the date of the most recent acquisition by such Person or Persons) assets from the Company that have a total gross fair market value of more than fifty percent (50%) of the total gross fair market value of all of the assets of the Company immediately prior to such acquisition or acquisitions. For this purpose, gross fair market value means the value of the assets of the Company, or the value of the assets being disposed of, determined in good faith by the Board without regard to any liabilities associated with such assets; or</w:t>
      </w:r>
    </w:p>
    <w:p>
      <w:pPr>
        <w:spacing w:after="0" w:line="63" w:lineRule="exact"/>
        <w:rPr>
          <w:sz w:val="20"/>
          <w:szCs w:val="20"/>
          <w:color w:val="auto"/>
        </w:rPr>
      </w:pPr>
    </w:p>
    <w:p>
      <w:pPr>
        <w:ind w:left="1420" w:hanging="439"/>
        <w:spacing w:after="0" w:line="255" w:lineRule="auto"/>
        <w:tabs>
          <w:tab w:leader="none" w:pos="142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Change in Board of Directors of the Company</w:t>
      </w:r>
      <w:r>
        <w:rPr>
          <w:rFonts w:ascii="Arial" w:cs="Arial" w:eastAsia="Arial" w:hAnsi="Arial"/>
          <w:sz w:val="18"/>
          <w:szCs w:val="18"/>
          <w:color w:val="auto"/>
        </w:rPr>
        <w:t>. A change in the effective control of the Company occurs on the date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is replaced for any reason during any twelve month period, provided, however, that if the election, or nomination for election by the Company’s shareholders, of any new director was approved by a vote of at least a majority of the Incumbent Board, such new director shall be considered a member of the Incumbent Board, and provided further that any reductions in the size of the Board that are instituted voluntarily by the Incumbent Board shall not constitute a “Change of Control”, and after any such reduction the “Incumbent Board” shall mean the Board as so reduced.</w:t>
      </w:r>
    </w:p>
    <w:p>
      <w:pPr>
        <w:spacing w:after="0" w:line="81" w:lineRule="exact"/>
        <w:rPr>
          <w:sz w:val="20"/>
          <w:szCs w:val="20"/>
          <w:color w:val="auto"/>
        </w:rPr>
      </w:pPr>
    </w:p>
    <w:p>
      <w:pPr>
        <w:ind w:left="980" w:right="60"/>
        <w:spacing w:after="0" w:line="314" w:lineRule="auto"/>
        <w:rPr>
          <w:sz w:val="20"/>
          <w:szCs w:val="20"/>
          <w:color w:val="auto"/>
        </w:rPr>
      </w:pPr>
      <w:r>
        <w:rPr>
          <w:rFonts w:ascii="Arial" w:cs="Arial" w:eastAsia="Arial" w:hAnsi="Arial"/>
          <w:sz w:val="16"/>
          <w:szCs w:val="16"/>
          <w:b w:val="1"/>
          <w:bCs w:val="1"/>
          <w:color w:val="auto"/>
        </w:rPr>
        <w:t>Change in State of Incorporation or Creation of a Holding Company</w:t>
      </w:r>
      <w:r>
        <w:rPr>
          <w:rFonts w:ascii="Arial" w:cs="Arial" w:eastAsia="Arial" w:hAnsi="Arial"/>
          <w:sz w:val="16"/>
          <w:szCs w:val="16"/>
          <w:color w:val="auto"/>
        </w:rPr>
        <w:t>. Notwithstanding the foregoing, a transaction shall not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a Change of Control if its sole purpose is to change the state of the Company’s incorporation or to create a holding company that will be owned in substantially similar proportions by the Persons who hold the Company’s securities immediately before such transaction.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means the Board, or any committee designated by the Board to administer this Plan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3</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w:t>
      </w:r>
    </w:p>
    <w:p>
      <w:pPr>
        <w:spacing w:after="0" w:line="248"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means any natural person who provides bona fide services to the Company or any Affiliate or Subsidiary as a consultant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advisor, excluding any Employee or Director.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 means a member of the Board who is not an Employee.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on which the Plan is adopted and approved by the Board.</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means an officer or other employee of the Company or any Subsidiary or Affiliate, including a member of the Board who is</w:t>
      </w:r>
      <w:r>
        <w:rPr>
          <w:rFonts w:ascii="Arial" w:cs="Arial" w:eastAsia="Arial" w:hAnsi="Arial"/>
          <w:sz w:val="18"/>
          <w:szCs w:val="18"/>
          <w:b w:val="1"/>
          <w:bCs w:val="1"/>
          <w:color w:val="auto"/>
        </w:rPr>
        <w:t xml:space="preserve"> </w:t>
      </w:r>
      <w:r>
        <w:rPr>
          <w:rFonts w:ascii="Arial" w:cs="Arial" w:eastAsia="Arial" w:hAnsi="Arial"/>
          <w:sz w:val="18"/>
          <w:szCs w:val="18"/>
          <w:color w:val="auto"/>
        </w:rPr>
        <w:t>such an employee.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means, as of any date, the per Share value determined as follows:</w:t>
      </w:r>
    </w:p>
    <w:p>
      <w:pPr>
        <w:spacing w:after="0" w:line="135" w:lineRule="exact"/>
        <w:rPr>
          <w:sz w:val="20"/>
          <w:szCs w:val="20"/>
          <w:color w:val="auto"/>
        </w:rPr>
      </w:pPr>
    </w:p>
    <w:p>
      <w:pPr>
        <w:jc w:val="both"/>
        <w:ind w:left="1420" w:right="80" w:hanging="439"/>
        <w:spacing w:after="0" w:line="279" w:lineRule="auto"/>
        <w:tabs>
          <w:tab w:leader="none" w:pos="14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the Shares are listed on any established stock exchange or a national market system, the per Share Fair Market Value shall be the closing sales price (or the closing bid, if no sales were reported)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84" w:name="page185"/>
    <w:bookmarkEnd w:id="184"/>
    <w:p>
      <w:pPr>
        <w:ind w:left="1420" w:right="20" w:hanging="439"/>
        <w:spacing w:after="0" w:line="257" w:lineRule="auto"/>
        <w:tabs>
          <w:tab w:leader="none" w:pos="14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Shares are regularly quoted on an automated quotation system (including the OTC Bulletin Board and the “Pink Sheets” published by the National Quotation Bureau, Inc.) or by a recognized securities dealer, but selling prices are not reported, the per Share Fair Market Value shall be the mean between the high bid and low asked prices for a Share on the date of determination (or, if no such prices were reported on that date, on the last date such prices were reported), as reported in The Wall Street Journal or such other source as the Committee deems reliable;</w:t>
      </w:r>
    </w:p>
    <w:p>
      <w:pPr>
        <w:spacing w:after="0" w:line="93" w:lineRule="exact"/>
        <w:rPr>
          <w:rFonts w:ascii="Arial" w:cs="Arial" w:eastAsia="Arial" w:hAnsi="Arial"/>
          <w:sz w:val="18"/>
          <w:szCs w:val="18"/>
          <w:color w:val="auto"/>
        </w:rPr>
      </w:pPr>
    </w:p>
    <w:p>
      <w:pPr>
        <w:ind w:left="1420" w:right="520" w:hanging="439"/>
        <w:spacing w:after="0" w:line="277" w:lineRule="auto"/>
        <w:tabs>
          <w:tab w:leader="none" w:pos="14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the per Share Fair Market Value thereof, disregarding any discount for minority interest, shall be determined in good faith by the Board.</w:t>
      </w:r>
    </w:p>
    <w:p>
      <w:pPr>
        <w:spacing w:after="0" w:line="16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color w:val="auto"/>
        </w:rPr>
        <w:t>” means an Option intended to meet the requirements of an incentive stock option as defined in Section 422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Code and designated as an Incentive Stock Option in accordance with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of this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Nonqualified Stock Option</w:t>
      </w:r>
      <w:r>
        <w:rPr>
          <w:rFonts w:ascii="Arial" w:cs="Arial" w:eastAsia="Arial" w:hAnsi="Arial"/>
          <w:sz w:val="18"/>
          <w:szCs w:val="18"/>
          <w:color w:val="auto"/>
        </w:rPr>
        <w:t>” means an Option that is not an Incentive Stock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 means any Option granted from time to time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means the purchase price per Share subject to an Option, as determined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Stock-Based Award</w:t>
      </w:r>
      <w:r>
        <w:rPr>
          <w:rFonts w:ascii="Arial" w:cs="Arial" w:eastAsia="Arial" w:hAnsi="Arial"/>
          <w:sz w:val="18"/>
          <w:szCs w:val="18"/>
          <w:color w:val="auto"/>
        </w:rPr>
        <w:t>” means any right granted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9</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any eligible person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an Award is granted.</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natural person, sole proprietorship, general partnership, limited partnership, limited liability company,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trust, unincorporated organization, association, corporation, governmental authority, or any other organization, irrespective of whether it is a legal entity and includes any successor (by merger or otherwise) of such entity.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means any Award granted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Restriction Period</w:t>
      </w:r>
      <w:r>
        <w:rPr>
          <w:rFonts w:ascii="Arial" w:cs="Arial" w:eastAsia="Arial" w:hAnsi="Arial"/>
          <w:sz w:val="18"/>
          <w:szCs w:val="18"/>
          <w:color w:val="auto"/>
        </w:rPr>
        <w:t>” means the period during which Restricted Stock awarded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is restricted.</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Service</w:t>
      </w:r>
      <w:r>
        <w:rPr>
          <w:rFonts w:ascii="Arial" w:cs="Arial" w:eastAsia="Arial" w:hAnsi="Arial"/>
          <w:sz w:val="18"/>
          <w:szCs w:val="18"/>
          <w:color w:val="auto"/>
        </w:rPr>
        <w:t>” means service as an Employee, Director or Consultant. Service shall be deemed to continue while a Participant is on a 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leave of absence, if such leave was approved by the Company in writing or if continued crediting of Service for such purpose is required by applicable law (as determined by the Company).</w:t>
      </w:r>
    </w:p>
    <w:p>
      <w:pPr>
        <w:spacing w:after="0" w:line="17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an ordinary share of the Company, par value $0.00001 per share, or such other class or kind of shares or other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resulting from the application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Appreciation Right</w:t>
      </w:r>
      <w:r>
        <w:rPr>
          <w:rFonts w:ascii="Arial" w:cs="Arial" w:eastAsia="Arial" w:hAnsi="Arial"/>
          <w:sz w:val="18"/>
          <w:szCs w:val="18"/>
          <w:color w:val="auto"/>
        </w:rPr>
        <w:t>” means any right granted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85" w:name="page186"/>
    <w:bookmarkEnd w:id="185"/>
    <w:p>
      <w:pPr>
        <w:ind w:left="4" w:right="3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2.26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means any corporation, partnership, limited liability company or other legal entity of which the Company,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owns stock possessing fifty percent (50%) or more of the total combined voting power of all classes of stock or other equity interests. For purposes of this Plan, Subsidiaries also include any consolidated variable interest entity of the Company.</w:t>
      </w:r>
    </w:p>
    <w:p>
      <w:pPr>
        <w:spacing w:after="0" w:line="176"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Ten Percent Shareholder</w:t>
      </w:r>
      <w:r>
        <w:rPr>
          <w:rFonts w:ascii="Arial" w:cs="Arial" w:eastAsia="Arial" w:hAnsi="Arial"/>
          <w:sz w:val="18"/>
          <w:szCs w:val="18"/>
          <w:color w:val="auto"/>
        </w:rPr>
        <w:t>” means a person who on any given date owns, either directly or indirectly (taking into account the attribution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rules contained in Section 424(d) of the Code), stock possessing more than ten percent (10%) of the total combined voting power of all classes of stock of the Company or a Subsidiary or Affiliate.</w:t>
      </w:r>
    </w:p>
    <w:p>
      <w:pPr>
        <w:spacing w:after="0" w:line="32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b w:val="1"/>
          <w:bCs w:val="1"/>
          <w:color w:val="auto"/>
        </w:rPr>
        <w:t>Administration</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b w:val="1"/>
          <w:bCs w:val="1"/>
          <w:color w:val="auto"/>
        </w:rPr>
        <w:t>3.1 Authority of the Committee</w:t>
      </w:r>
      <w:r>
        <w:rPr>
          <w:rFonts w:ascii="Arial" w:cs="Arial" w:eastAsia="Arial" w:hAnsi="Arial"/>
          <w:sz w:val="16"/>
          <w:szCs w:val="16"/>
          <w:color w:val="auto"/>
        </w:rPr>
        <w:t>. This Plan shall be administered by the Committee, which shall have full power to interpret and administer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 and full authority to select the Directors, Employees and Consultants to whom Awards will be granted and determine the type and amount of Awards to be granted to each such Director, Employee or consultant, the terms and conditions of Awards granted under this Plan and the terms of Award Agreements to be entered into with Participants. Without limiting the generality of the foregoing, the Committee may, in its sole discretion, interpret, clarify, construe or resolve any ambiguity in any provision of this Plan or any Award Agreement, accelerate or waive vesting of Awards and exercisability of Awards, extend the term or period of exercisability of any Awards, modify the purchase price under any Award, or waive any terms or conditions applicable to any Award, subject to the limitations set forth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of this Plan. Awards may, in the discretion of the Committee, be made under this Plan in assumption of, or in substitution for, outstanding awards previously granted by the Company or an Affiliate or a company acquired by the Company or with which the Company combines. The Committee shall have full and exclusive discretionary power to adopt rules, forms, instruments and guidelines for administering this Plan as the Committee deems necessary or proper. All actions taken and all interpretations and determinations made by the Committee shall be final and binding upon the Participants, the Company and all other interested individuals.</w:t>
      </w:r>
    </w:p>
    <w:p>
      <w:pPr>
        <w:spacing w:after="0" w:line="163"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3.2 Delegation</w:t>
      </w:r>
      <w:r>
        <w:rPr>
          <w:rFonts w:ascii="Arial" w:cs="Arial" w:eastAsia="Arial" w:hAnsi="Arial"/>
          <w:sz w:val="18"/>
          <w:szCs w:val="18"/>
          <w:color w:val="auto"/>
        </w:rPr>
        <w:t>. The Committee may delegate to one or more of its members, one or more officers of the Company or any Subsidiary, and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agents or advisors such administrative duties or powers as it may deem advisable.</w:t>
      </w:r>
    </w:p>
    <w:p>
      <w:pPr>
        <w:spacing w:after="0" w:line="31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Eligibility and Participation</w:t>
      </w:r>
    </w:p>
    <w:p>
      <w:pPr>
        <w:spacing w:after="0" w:line="117"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b w:val="1"/>
          <w:bCs w:val="1"/>
          <w:color w:val="auto"/>
        </w:rPr>
        <w:t>4.1 Eligibility</w:t>
      </w:r>
      <w:r>
        <w:rPr>
          <w:rFonts w:ascii="Arial" w:cs="Arial" w:eastAsia="Arial" w:hAnsi="Arial"/>
          <w:sz w:val="18"/>
          <w:szCs w:val="18"/>
          <w:color w:val="auto"/>
        </w:rPr>
        <w:t>. Participants will consist of such Employees, Directors and Consultants as the Committee in its sole discretion determines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whom the Committee may designate from time to time to receive Awards under this Plan.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4.2 Type of Award</w:t>
      </w:r>
      <w:r>
        <w:rPr>
          <w:rFonts w:ascii="Arial" w:cs="Arial" w:eastAsia="Arial" w:hAnsi="Arial"/>
          <w:sz w:val="17"/>
          <w:szCs w:val="17"/>
          <w:color w:val="auto"/>
        </w:rPr>
        <w:t>. Awards under this Plan may be granted in any one or a combination of: (a) Options; (b) Stock Appreciation Rights;</w:t>
      </w:r>
    </w:p>
    <w:p>
      <w:pPr>
        <w:spacing w:after="0" w:line="39" w:lineRule="exact"/>
        <w:rPr>
          <w:sz w:val="20"/>
          <w:szCs w:val="20"/>
          <w:color w:val="auto"/>
        </w:rPr>
      </w:pPr>
    </w:p>
    <w:p>
      <w:pPr>
        <w:ind w:left="4" w:right="180" w:hanging="4"/>
        <w:spacing w:after="0" w:line="302" w:lineRule="auto"/>
        <w:tabs>
          <w:tab w:leader="none" w:pos="24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Restricted Stock; and (d) Other Stock-Based Awards. Awards granted under this Plan shall be evidenced by Award Agreements (which need not be identical) that provide additional terms and conditions associated with such Awards, as determined by the Committee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any conflict between the provisions of this Plan and any such Award Agreement, the provisions of this Plan shall prevail.</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186" w:name="page187"/>
    <w:bookmarkEnd w:id="18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5.</w:t>
      </w:r>
      <w:r>
        <w:rPr>
          <w:sz w:val="20"/>
          <w:szCs w:val="20"/>
          <w:color w:val="auto"/>
        </w:rPr>
        <w:tab/>
      </w:r>
      <w:r>
        <w:rPr>
          <w:rFonts w:ascii="Arial" w:cs="Arial" w:eastAsia="Arial" w:hAnsi="Arial"/>
          <w:sz w:val="16"/>
          <w:szCs w:val="16"/>
          <w:b w:val="1"/>
          <w:bCs w:val="1"/>
          <w:color w:val="auto"/>
        </w:rPr>
        <w:t>Shares Subject to this Plan and Maximum Awards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Number of Shares Available for Awards</w:t>
      </w:r>
      <w:r>
        <w:rPr>
          <w:rFonts w:ascii="Arial" w:cs="Arial" w:eastAsia="Arial" w:hAnsi="Arial"/>
          <w:sz w:val="18"/>
          <w:szCs w:val="18"/>
          <w:color w:val="auto"/>
        </w:rPr>
        <w:t>.</w:t>
      </w:r>
    </w:p>
    <w:p>
      <w:pPr>
        <w:spacing w:after="0" w:line="131" w:lineRule="exact"/>
        <w:rPr>
          <w:sz w:val="20"/>
          <w:szCs w:val="20"/>
          <w:color w:val="auto"/>
        </w:rPr>
      </w:pPr>
    </w:p>
    <w:p>
      <w:pPr>
        <w:ind w:left="1420" w:right="20" w:hanging="439"/>
        <w:spacing w:after="0" w:line="274" w:lineRule="auto"/>
        <w:tabs>
          <w:tab w:leader="none" w:pos="1420"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Shares</w:t>
      </w:r>
      <w:r>
        <w:rPr>
          <w:rFonts w:ascii="Arial" w:cs="Arial" w:eastAsia="Arial" w:hAnsi="Arial"/>
          <w:sz w:val="17"/>
          <w:szCs w:val="17"/>
          <w:color w:val="auto"/>
        </w:rPr>
        <w:t>. Subject to adjustment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5</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the maximum number of Shares available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issuance to Participants pursuant to Awards under the Plan shall be 589,729,714 Shares. The number of Shares available for granting Incentive Stock Options under the Plan shall not exceed 589,729,714 Shares, subject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and the provisions of Sections 422 and 424 of the Code and any successor provisions. The Shares available for issuance under the Plan may consist, in whole or in part, of authorized and unissued Shares. Any Shares delivered to the Company as part or full payment for the purchase price of an Award granted under this Plan shall again be available for Awards under this Plan.</w:t>
      </w:r>
    </w:p>
    <w:p>
      <w:pPr>
        <w:spacing w:after="0" w:line="78" w:lineRule="exact"/>
        <w:rPr>
          <w:rFonts w:ascii="Arial" w:cs="Arial" w:eastAsia="Arial" w:hAnsi="Arial"/>
          <w:sz w:val="17"/>
          <w:szCs w:val="17"/>
          <w:color w:val="auto"/>
        </w:rPr>
      </w:pPr>
    </w:p>
    <w:p>
      <w:pPr>
        <w:ind w:left="1420" w:right="220" w:hanging="439"/>
        <w:spacing w:after="0" w:line="256" w:lineRule="auto"/>
        <w:tabs>
          <w:tab w:leader="none" w:pos="142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Additional Shares</w:t>
      </w:r>
      <w:r>
        <w:rPr>
          <w:rFonts w:ascii="Arial" w:cs="Arial" w:eastAsia="Arial" w:hAnsi="Arial"/>
          <w:sz w:val="18"/>
          <w:szCs w:val="18"/>
          <w:color w:val="auto"/>
        </w:rPr>
        <w:t>. In the event that any outstanding Award expires, is forfeited, cancelled or otherwise terminated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(i.e., Shares or cash) therefor, the Shares subject to such Award, to the extent of any such forfeiture, cancellation, expiration, termination or settlement for cash, shall again be available for Awards under this Plan. If the Committee authorizes the assumption under this Plan, in connection with any merger, consolidation, acquisition of property or stock, or reorganization, of awards granted under another plan, such assumption shall not reduce the maximum number of Shares available for issuance under this Plan.</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Options</w:t>
      </w:r>
    </w:p>
    <w:p>
      <w:pPr>
        <w:spacing w:after="0" w:line="11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color w:val="auto"/>
        </w:rPr>
        <w:t>6.1 Grant of Options</w:t>
      </w:r>
      <w:r>
        <w:rPr>
          <w:rFonts w:ascii="Arial" w:cs="Arial" w:eastAsia="Arial" w:hAnsi="Arial"/>
          <w:sz w:val="16"/>
          <w:szCs w:val="16"/>
          <w:color w:val="auto"/>
        </w:rPr>
        <w:t>. The Committee is hereby authorized to grant Options to Participants. Each Option shall permit a Participant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the Company a stated number of Shares at an Option Price established by the Committee, subject to the terms and conditions described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to such additional terms and conditions, as established by the Committee, in its sole discretion, that are consistent with the provisions of the Plan. Options shall be designated as either Incentive Stock Options or Nonqualified Stock Options,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Options granted to Directors shall be Nonqualified Stock Options. An Option granted as an Incentive Stock Option shall, to the extent it fails to qualify as an Incentive Stock Option, be treated as a Nonqualified Stock Option. Neither the Committee nor the Company or any of its Affiliates shall be liable to any Participant or to any other Person if it is determined that an Option intended to be an Incentive Stock Option does not qualify as an Incentive Stock Option. Each option shall be evidenced by an Award Agreement which shall state the number of Shares covered by such Option. Such agreements shall conform to the requirements of the Plan, and may contain such other provisions, as the Committee shall deem advisable.</w:t>
      </w:r>
    </w:p>
    <w:p>
      <w:pPr>
        <w:spacing w:after="0" w:line="16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6.2 Terms of Option Grant</w:t>
      </w:r>
      <w:r>
        <w:rPr>
          <w:rFonts w:ascii="Arial" w:cs="Arial" w:eastAsia="Arial" w:hAnsi="Arial"/>
          <w:sz w:val="18"/>
          <w:szCs w:val="18"/>
          <w:color w:val="auto"/>
        </w:rPr>
        <w:t>. The Option Price shall be determined by the Committee at the time of grant, and, unless otherwise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not be less than one-hundred percent (100%) of the Fair Market Value of a Share on the date of grant. In the case of any Incentive Stock Option granted to a Ten Percent Shareholder, unless otherwise determined by the Board, the Option Price shall not be less than one-hundred-ten percent (110%) of the Fair Market Value of a Share on the date of grant.</w:t>
      </w:r>
    </w:p>
    <w:p>
      <w:pPr>
        <w:spacing w:after="0" w:line="18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b w:val="1"/>
          <w:bCs w:val="1"/>
          <w:color w:val="auto"/>
        </w:rPr>
        <w:t>6.3 Option Term</w:t>
      </w:r>
      <w:r>
        <w:rPr>
          <w:rFonts w:ascii="Arial" w:cs="Arial" w:eastAsia="Arial" w:hAnsi="Arial"/>
          <w:sz w:val="16"/>
          <w:szCs w:val="16"/>
          <w:color w:val="auto"/>
        </w:rPr>
        <w:t>. The term of each Option shall be determined by the Committee at the time of grant and shall be stated in 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but in no event shall such term be greater than ten (10) years (or, in the case on an Incentive Stock Option granted to a Ten Percent Shareholder, five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years), unless otherwise determined by the Board.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87" w:name="page188"/>
    <w:bookmarkEnd w:id="187"/>
    <w:p>
      <w:pPr>
        <w:ind w:right="10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6.4 Time of Exercise</w:t>
      </w:r>
      <w:r>
        <w:rPr>
          <w:rFonts w:ascii="Arial" w:cs="Arial" w:eastAsia="Arial" w:hAnsi="Arial"/>
          <w:sz w:val="16"/>
          <w:szCs w:val="16"/>
          <w:color w:val="auto"/>
        </w:rPr>
        <w:t>. Options granted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exercisable at such times and be subject to such restrictions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in each instance approve, which terms and restrictions need not be the same for each grant or for each Participant.</w:t>
      </w:r>
    </w:p>
    <w:p>
      <w:pPr>
        <w:spacing w:after="0" w:line="116"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6.5 Method of Exercise</w:t>
      </w:r>
      <w:r>
        <w:rPr>
          <w:rFonts w:ascii="Arial" w:cs="Arial" w:eastAsia="Arial" w:hAnsi="Arial"/>
          <w:sz w:val="16"/>
          <w:szCs w:val="16"/>
          <w:color w:val="auto"/>
        </w:rPr>
        <w:t>. Except as otherwise provided in the Plan or in an Award Agreement, an Option may be exercised for all, or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any part, of the Shares for which it is then exercisable. For purposes of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the exercise date of an Option shall be the later of the date a notice of exercise is received by the Company and, if applicable, the date full payment is received by the Company pursuant to clauses (a), (b), (c), (d), or (e) of the following sentence (including the applicable tax withholding pursuant to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of the Plan). The aggregate Option Price for the Shares as to which an Option is exercised shall be paid to the Company at the election of the Participant: (a) in cash or its equivalent (e.g., by cashier’s check); (b) to the extent permitted by the Committee, in Shares (whether or not previously owned by the Participant) having a Fair Market Value equal to the aggregate Option Price for the Shares being purchased and satisfying such other requirements as may be imposed by the Committee; (c) partly in cash and, to the extent permitted by the Committee, partly in such Shares (as described in (b) above); (d) to the extent permitted by the Committee, by reducing the number of Shares otherwise deliverable upon the exercise of the Option by the number of Shares having a Fair Market Value equal to the Option Price; or (e) if there is a public market for the Shares at such time, subject to such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The Committee may prescribe any other method of payment (including in respect of the applicable cash currency) that it determines to be consistent with applicable law and the purpose of the Plan. In furtherance of the foregoing, the Committee may also require the Participant to provide evidence that the funds were taken out of the People’s Republic of China in accordance with applicable foreign exchange control laws and regulations.</w:t>
      </w:r>
    </w:p>
    <w:p>
      <w:pPr>
        <w:spacing w:after="0" w:line="16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6.6 Limitations on Incentive Stock Options. </w:t>
      </w:r>
      <w:r>
        <w:rPr>
          <w:rFonts w:ascii="Arial" w:cs="Arial" w:eastAsia="Arial" w:hAnsi="Arial"/>
          <w:sz w:val="16"/>
          <w:szCs w:val="16"/>
          <w:color w:val="auto"/>
        </w:rPr>
        <w:t>Incentive Stock Options may be granted only to employees of the Company or of a “parent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“subsidiary corporation” (as such terms are defined in Section 424 of the Code) at the date of grant. The aggregate Fair Market Value (generally determined as of the time the Option is granted) of the Shares with respect to which Incentive Stock Options are exercisable for the first time by a Participant during any calendar year under all plans of the Company and of any “parent corporation” or “subsidiary corporation” shall not exceed one hundred thousand dollars ($100,000), or the Option shall be treated as a Nonqualified Stock Option. For purposes of the preceding sentence, Incentive Stock Options will be taken into account generally in the order in which they are granted. Each provision of the Plan and each Award Agreement relating to an Incentive Stock Option shall be construed so that each Incentive Stock Option shall be an incentive stock option as defined in Section 422 of the Code, and any provisions of the Award Agreement thereof that cannot be so construed shall be disregarded.</w:t>
      </w: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Stock Appreciation Rights</w:t>
      </w:r>
    </w:p>
    <w:p>
      <w:pPr>
        <w:spacing w:after="0" w:line="11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7.1 Grant of Stock Appreciation Rights. </w:t>
      </w:r>
      <w:r>
        <w:rPr>
          <w:rFonts w:ascii="Arial" w:cs="Arial" w:eastAsia="Arial" w:hAnsi="Arial"/>
          <w:sz w:val="18"/>
          <w:szCs w:val="18"/>
          <w:color w:val="auto"/>
        </w:rPr>
        <w:t>The Committee is hereby authorized to grant Stock Appreciation Rights to Participants.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shall be evidenced by Award Agreements that shall conform to the requirements of the Plan and may contain such other provisions, as the Committee shall deem advisable. Subject to the terms of the Plan and any applicable Award Agreement, a Stock Appreciation Right granted under the Plan shall confer on the holder thereof a right to receive, upon exercise thereof, the excess of: (a) the Fair Market Value of a specified number of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88" w:name="page189"/>
    <w:bookmarkEnd w:id="188"/>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date of exercise over; (b) the grant price of the right as specified by the Committee on the date of the grant. Such payment may be in the form of cash, Shares, other property or any combination thereof, as the Committee shall determine in its sole discretion (including in respect of the applicable cash currency payable to the Participant).</w:t>
      </w:r>
    </w:p>
    <w:p>
      <w:pPr>
        <w:spacing w:after="0" w:line="180"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7.2 Terms of Stock Appreciation Right. </w:t>
      </w:r>
      <w:r>
        <w:rPr>
          <w:rFonts w:ascii="Arial" w:cs="Arial" w:eastAsia="Arial" w:hAnsi="Arial"/>
          <w:sz w:val="18"/>
          <w:szCs w:val="18"/>
          <w:color w:val="auto"/>
        </w:rPr>
        <w:t>Each Stock Appreciation Right grant shall be evidenced by an Award Agreement which shall state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price (which shall not be less than one-hundred percent (100%) of the Fair Market Value of a Share on the date of grant), term, methods of exercise, methods of settlement, and such other provisions as the Committee shall determine. No Stock Appreciation Right shall have a term of more than ten (10) years from the date of grant.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8.Restricted Shares</w:t>
      </w:r>
    </w:p>
    <w:p>
      <w:pPr>
        <w:spacing w:after="0" w:line="117"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8.1 Grant of Restricted Stock. </w:t>
      </w:r>
      <w:r>
        <w:rPr>
          <w:rFonts w:ascii="Arial" w:cs="Arial" w:eastAsia="Arial" w:hAnsi="Arial"/>
          <w:sz w:val="18"/>
          <w:szCs w:val="18"/>
          <w:color w:val="auto"/>
        </w:rPr>
        <w:t>The Committee is hereby authorized to grant Restricted Stock to Participants. An Award of Restricted Stock is a</w:t>
      </w:r>
      <w:r>
        <w:rPr>
          <w:rFonts w:ascii="Arial" w:cs="Arial" w:eastAsia="Arial" w:hAnsi="Arial"/>
          <w:sz w:val="18"/>
          <w:szCs w:val="18"/>
          <w:b w:val="1"/>
          <w:bCs w:val="1"/>
          <w:color w:val="auto"/>
        </w:rPr>
        <w:t xml:space="preserve"> </w:t>
      </w:r>
      <w:r>
        <w:rPr>
          <w:rFonts w:ascii="Arial" w:cs="Arial" w:eastAsia="Arial" w:hAnsi="Arial"/>
          <w:sz w:val="18"/>
          <w:szCs w:val="18"/>
          <w:color w:val="auto"/>
        </w:rPr>
        <w:t>grant by the Committee of a specified number of Shares to the Participant, which Shares are subject to forfeiture upon the occurrence of specified events. Participants shall be awarded Restricted Stock in exchange for consideration not less than the minimum consideration required by applicable law. Restricted Stock shall be evidenced by an Award Agreement, which shall conform to the requirements of the Plan and may contain such other provisions, as the Committee shall deem advisable.</w:t>
      </w:r>
    </w:p>
    <w:p>
      <w:pPr>
        <w:spacing w:after="0" w:line="183"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8.2 Terms of Restricted Stock Awards. </w:t>
      </w:r>
      <w:r>
        <w:rPr>
          <w:rFonts w:ascii="Arial" w:cs="Arial" w:eastAsia="Arial" w:hAnsi="Arial"/>
          <w:sz w:val="17"/>
          <w:szCs w:val="17"/>
          <w:color w:val="auto"/>
        </w:rPr>
        <w:t>Each Award Agreement evidencing a Restricted Stock grant shall specify the Restriction Period(s),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Restricted Stock subject to the Award, the purchase price, if any, of the Restricted Stock, the performance, employment, or other conditions (including the termination of a Participant’s Service whether due to death, disability or other reason) under which the Restricted Stock may be forfeited to the Company and such other provisions as the Committee shall determine. Any Restricted Stock granted under the Plan shall be evidenced in such manner as the Committee may deem appropriate, including book-entry registration or issuance of a stock certificate or certificates (in which case, the certificate(s) representing such Shares shall be legended as to sale, transfer, assignment, pledge or other encumbrances during the Restriction Period and deposited by the Participant, together with a stock power endorsed in blank, with the Company, to be held in escrow during the Restriction Period). At the end of the Restriction Period, the restrictions imposed hereunder and under the Award Agreement shall lapse with respect to the number of Shares of Restricted Stock as determined by the Committee, and the legend shall be removed and such number of Shares delivered to the Participant (or, where appropriate, the Participant’s legal representative).</w:t>
      </w:r>
    </w:p>
    <w:p>
      <w:pPr>
        <w:spacing w:after="0" w:line="177"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8.3 Voting and Dividend Rights. </w:t>
      </w:r>
      <w:r>
        <w:rPr>
          <w:rFonts w:ascii="Arial" w:cs="Arial" w:eastAsia="Arial" w:hAnsi="Arial"/>
          <w:sz w:val="18"/>
          <w:szCs w:val="18"/>
          <w:color w:val="auto"/>
        </w:rPr>
        <w:t>The Committee shall determine and set forth in a Participant’s Award Agreement whether or not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Restricted Stock granted hereunder shall have the right to exercise voting rights with respect to the Restricted Stock during the Restriction Period (the Committee may require a Participant to grant an irrevocable proxy and power of substitution) and/or have the right to receive dividends on the Restricted Stock during the Restriction Period (and, if so, on what terms).</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8.4 Performance Goals. </w:t>
      </w:r>
      <w:r>
        <w:rPr>
          <w:rFonts w:ascii="Arial" w:cs="Arial" w:eastAsia="Arial" w:hAnsi="Arial"/>
          <w:sz w:val="18"/>
          <w:szCs w:val="18"/>
          <w:color w:val="auto"/>
        </w:rPr>
        <w:t>The Committee may condition the grant of Restricted Stock or the expiration of the Restriction Period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achievement of one or more performance goal(s) specified in the Award Agreement. If the Participant fails to achieve the specified performance goal(s), the Committee shall not grant the Restricted Stock to such Participant or the Participant shall forfeit the Award of Restricted Stock to the Company, as applicable.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189" w:name="page190"/>
    <w:bookmarkEnd w:id="189"/>
    <w:p>
      <w:pPr>
        <w:ind w:right="1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8.5 Section 83(b) Election. </w:t>
      </w:r>
      <w:r>
        <w:rPr>
          <w:rFonts w:ascii="Arial" w:cs="Arial" w:eastAsia="Arial" w:hAnsi="Arial"/>
          <w:sz w:val="18"/>
          <w:szCs w:val="18"/>
          <w:color w:val="auto"/>
        </w:rPr>
        <w:t>If a Participant makes an election pursuant to Section 83(b) of the Code concerning Restricted Stock,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required to file promptly a copy of such election with the Company.</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6"/>
          <w:szCs w:val="16"/>
          <w:b w:val="1"/>
          <w:bCs w:val="1"/>
          <w:color w:val="auto"/>
        </w:rPr>
        <w:t>Other Stock-Based Awards</w:t>
      </w:r>
    </w:p>
    <w:p>
      <w:pPr>
        <w:spacing w:after="0" w:line="12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Committee, in its sole discretion, may grant Awards of Shares and Awards that are valued, in whole or in part, by reference to, or are otherwise based on the Fair Market Value of, Shares (the “</w:t>
      </w:r>
      <w:r>
        <w:rPr>
          <w:rFonts w:ascii="Arial" w:cs="Arial" w:eastAsia="Arial" w:hAnsi="Arial"/>
          <w:sz w:val="17"/>
          <w:szCs w:val="17"/>
          <w:u w:val="single" w:color="auto"/>
          <w:color w:val="auto"/>
        </w:rPr>
        <w:t>Other Stock-Based Awards</w:t>
      </w:r>
      <w:r>
        <w:rPr>
          <w:rFonts w:ascii="Arial" w:cs="Arial" w:eastAsia="Arial" w:hAnsi="Arial"/>
          <w:sz w:val="17"/>
          <w:szCs w:val="17"/>
          <w:color w:val="auto"/>
        </w:rPr>
        <w:t>”), including without limitation, restricted stock units, dividend equivalent rights, and other phantom awards. Such Other Stock-Based Awards shall be in such form, and dependent on such conditions, as the Committee shall determine, including, without limitation, the right to receive one or more Shares (or the equivalent cash value of such Shares) upon the completion of a specified period of Service, the occurrence of an event, and/or the attainment of performance objectives.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 Each Other Stock-Based Award grant shall be evidenced by an Award Agreement, which shall conform to the requirements of the Plan.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10.Adjustments</w:t>
      </w:r>
    </w:p>
    <w:p>
      <w:pPr>
        <w:spacing w:after="0" w:line="11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b w:val="1"/>
          <w:bCs w:val="1"/>
          <w:color w:val="auto"/>
        </w:rPr>
        <w:t>10.1 Adjustments in Authorized Shares</w:t>
      </w:r>
      <w:r>
        <w:rPr>
          <w:rFonts w:ascii="Arial" w:cs="Arial" w:eastAsia="Arial" w:hAnsi="Arial"/>
          <w:sz w:val="17"/>
          <w:szCs w:val="17"/>
          <w:color w:val="auto"/>
        </w:rPr>
        <w:t>. In the event of any corporate event or transaction involving the Company, a Subsidiary and/or an</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(including, but not limited to, a change in the Shares of the Company or the capitalization of the Company) such as a merger, consolidation, reorganization, recapitalization, separation, stock dividend, stock split, reverse stock split, split up, spin-off, combination of Shares, exchange of Shares, dividend in kind, extraordinary cash dividend, amalgamation, or other like change in capital structure (other than normal cash dividends to shareholders of the Company), or any similar corporate event or transaction, the Committee, to prevent dilution or enlargement of Participants’ rights under the Plan, shall substitute or adjust, in its sole discretion, the number and kind of Shares or other property that may be issued under the Plan or under particular forms of Awards, the number and kind of Shares or other property subject to outstanding Awards, the Option Price, grant price or purchase price applicable to outstanding Awards, the annual award limits, and/or other value determinations (including performance conditions) applicable to the Plan or outstanding Awards.</w:t>
      </w:r>
    </w:p>
    <w:p>
      <w:pPr>
        <w:spacing w:after="0" w:line="174"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10.2 Change of Control</w:t>
      </w:r>
      <w:r>
        <w:rPr>
          <w:rFonts w:ascii="Arial" w:cs="Arial" w:eastAsia="Arial" w:hAnsi="Arial"/>
          <w:sz w:val="18"/>
          <w:szCs w:val="18"/>
          <w:color w:val="auto"/>
        </w:rPr>
        <w:t>. Upon the occurrence of a Change of Control after the Effective Date, unless otherwise specifically prohibited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laws or by the rules and regulations of any governing governmental agencies or national securities exchanges, or unless the Committee shall determine otherwise in the Award Agreement, the Committee is authorized (but not obligated) to make adjustments in the terms and conditions of outstanding Awards, including without limitation the following (or any combination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Committee’s decision shall be fair and equitable to each Participant:</w:t>
      </w:r>
    </w:p>
    <w:p>
      <w:pPr>
        <w:spacing w:after="0" w:line="93" w:lineRule="exact"/>
        <w:rPr>
          <w:sz w:val="20"/>
          <w:szCs w:val="20"/>
          <w:color w:val="auto"/>
        </w:rPr>
      </w:pPr>
    </w:p>
    <w:p>
      <w:pPr>
        <w:ind w:left="1420" w:right="820" w:hanging="439"/>
        <w:spacing w:after="0" w:line="277" w:lineRule="auto"/>
        <w:tabs>
          <w:tab w:leader="none" w:pos="1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continuation or assumption of such outstanding Awards under the Plan by the Company (if it is the surviving company or corporation) or by the surviving company or corporation or its parent;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190" w:name="page191"/>
    <w:bookmarkEnd w:id="190"/>
    <w:p>
      <w:pPr>
        <w:ind w:left="1420" w:right="540" w:hanging="439"/>
        <w:spacing w:after="0" w:line="277" w:lineRule="auto"/>
        <w:tabs>
          <w:tab w:leader="none" w:pos="1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substitution by the surviving company or corporation or its parent of awards with substantially the same terms for outstanding Awards (excluding the consideration payable upon settlement of the Awards);</w:t>
      </w:r>
    </w:p>
    <w:p>
      <w:pPr>
        <w:spacing w:after="0" w:line="75" w:lineRule="exact"/>
        <w:rPr>
          <w:rFonts w:ascii="Arial" w:cs="Arial" w:eastAsia="Arial" w:hAnsi="Arial"/>
          <w:sz w:val="18"/>
          <w:szCs w:val="18"/>
          <w:color w:val="auto"/>
        </w:rPr>
      </w:pPr>
    </w:p>
    <w:p>
      <w:pPr>
        <w:ind w:left="1420" w:right="100" w:hanging="439"/>
        <w:spacing w:after="0" w:line="277" w:lineRule="auto"/>
        <w:tabs>
          <w:tab w:leader="none" w:pos="1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accelerated exercisability, vesting and/or lapse of restrictions under outstanding Awards immediately prior to the occurrence of such event;</w:t>
      </w:r>
    </w:p>
    <w:p>
      <w:pPr>
        <w:spacing w:after="0" w:line="75" w:lineRule="exact"/>
        <w:rPr>
          <w:rFonts w:ascii="Arial" w:cs="Arial" w:eastAsia="Arial" w:hAnsi="Arial"/>
          <w:sz w:val="18"/>
          <w:szCs w:val="18"/>
          <w:color w:val="auto"/>
        </w:rPr>
      </w:pPr>
    </w:p>
    <w:p>
      <w:pPr>
        <w:ind w:left="1420" w:right="160" w:hanging="439"/>
        <w:spacing w:after="0" w:line="259" w:lineRule="auto"/>
        <w:tabs>
          <w:tab w:leader="none" w:pos="1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upon written notice, provide that any outstanding Awards must be exercised, to the extent then exercisable, during a reasonable period of time immediately prior to the scheduled consummation of the event or such other period as determined by the Committee (contingent upon the consummation of the event), and at the end of such period, such Awards shall terminate to the extent not so exercised within the relevant period; and</w:t>
      </w:r>
    </w:p>
    <w:p>
      <w:pPr>
        <w:spacing w:after="0" w:line="92" w:lineRule="exact"/>
        <w:rPr>
          <w:rFonts w:ascii="Arial" w:cs="Arial" w:eastAsia="Arial" w:hAnsi="Arial"/>
          <w:sz w:val="18"/>
          <w:szCs w:val="18"/>
          <w:color w:val="auto"/>
        </w:rPr>
      </w:pPr>
    </w:p>
    <w:p>
      <w:pPr>
        <w:ind w:left="1420" w:hanging="439"/>
        <w:spacing w:after="0" w:line="293" w:lineRule="auto"/>
        <w:tabs>
          <w:tab w:leader="none" w:pos="14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cancellation of all or any portion of outstanding Awards for fair value (in the form of cash, Shares, other property or any combination thereof) as determined in the sole discretion of the Committee and which value may be zero, provided, that, in the case of Options and Stock Appreciation Rights or similar Awards, the fair value may equal the excess, if any, of the value of the consideration to be paid in the Change of Control transaction to holders of the same number of Shares subject to such Awards (or, if no such consideration is paid, Fair Market Value of the Shares subject to such outstanding Awards or portion thereof being cancelled) over the aggregate Option Price or grant price, as applicable, with respect to such Awards or portion thereof being cancelled.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11.Duration;Amendment, Modification, Suspension and Termination</w:t>
      </w:r>
    </w:p>
    <w:p>
      <w:pPr>
        <w:spacing w:after="0" w:line="117"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b w:val="1"/>
          <w:bCs w:val="1"/>
          <w:color w:val="auto"/>
        </w:rPr>
        <w:t>11.1 Duration of Plan</w:t>
      </w:r>
      <w:r>
        <w:rPr>
          <w:rFonts w:ascii="Arial" w:cs="Arial" w:eastAsia="Arial" w:hAnsi="Arial"/>
          <w:sz w:val="18"/>
          <w:szCs w:val="18"/>
          <w:color w:val="auto"/>
        </w:rPr>
        <w:t>. Unless sooner terminated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w:t>
      </w:r>
      <w:r>
        <w:rPr>
          <w:rFonts w:ascii="Arial" w:cs="Arial" w:eastAsia="Arial" w:hAnsi="Arial"/>
          <w:sz w:val="18"/>
          <w:szCs w:val="18"/>
          <w:color w:val="auto"/>
        </w:rPr>
        <w:t>, this Plan shall terminate on the twentieth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right="440" w:firstLine="440"/>
        <w:spacing w:after="0" w:line="281" w:lineRule="auto"/>
        <w:rPr>
          <w:sz w:val="20"/>
          <w:szCs w:val="20"/>
          <w:color w:val="auto"/>
        </w:rPr>
      </w:pPr>
      <w:r>
        <w:rPr>
          <w:rFonts w:ascii="Arial" w:cs="Arial" w:eastAsia="Arial" w:hAnsi="Arial"/>
          <w:sz w:val="17"/>
          <w:szCs w:val="17"/>
          <w:b w:val="1"/>
          <w:bCs w:val="1"/>
          <w:color w:val="auto"/>
        </w:rPr>
        <w:t>11.2 Amendment, Modification, Suspension and Termination of Plan</w:t>
      </w:r>
      <w:r>
        <w:rPr>
          <w:rFonts w:ascii="Arial" w:cs="Arial" w:eastAsia="Arial" w:hAnsi="Arial"/>
          <w:sz w:val="17"/>
          <w:szCs w:val="17"/>
          <w:color w:val="auto"/>
        </w:rPr>
        <w:t>. Subject to the terms of the Plan, the Committee may amend, alter,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suspend, discontinue or terminate this Plan or any portion thereof or any Award (or Award Agreement) hereunder at any time,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no action taken by the Committee shall adversely affect in any material respect the rights granted to any Participant under any outstanding Awards (other than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without the Participant’s written consent.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12.General Provisions</w:t>
      </w:r>
    </w:p>
    <w:p>
      <w:pPr>
        <w:spacing w:after="0" w:line="117"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b w:val="1"/>
          <w:bCs w:val="1"/>
          <w:color w:val="auto"/>
        </w:rPr>
        <w:t>12.1 No Right to Service or Award</w:t>
      </w:r>
      <w:r>
        <w:rPr>
          <w:rFonts w:ascii="Arial" w:cs="Arial" w:eastAsia="Arial" w:hAnsi="Arial"/>
          <w:sz w:val="16"/>
          <w:szCs w:val="16"/>
          <w:color w:val="auto"/>
        </w:rPr>
        <w:t>. The granting of an Award under the Plan shall impose no obligation on the Company, any Subsidiary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to continue the service of a Participant and shall not lessen or affect any right that the Company, any Subsidiary or any Affiliate may have to terminate the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54"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12.2 Settlement of Awards</w:t>
      </w:r>
      <w:r>
        <w:rPr>
          <w:rFonts w:ascii="Arial" w:cs="Arial" w:eastAsia="Arial" w:hAnsi="Arial"/>
          <w:sz w:val="18"/>
          <w:szCs w:val="18"/>
          <w:color w:val="auto"/>
        </w:rPr>
        <w:t>. Each Award Agreement shall establish the form in which the Award shall be settled. The Committee shall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cash, Awards, other securities or other property shall be issued or paid in lieu of fractional Shares or whether such fractional Shares or any rights thereto shall be issued, rounded, forfeited, or otherwise eliminated.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91" w:name="page192"/>
    <w:bookmarkEnd w:id="191"/>
    <w:p>
      <w:pPr>
        <w:ind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12.3 Tax Withholding</w:t>
      </w:r>
      <w:r>
        <w:rPr>
          <w:rFonts w:ascii="Arial" w:cs="Arial" w:eastAsia="Arial" w:hAnsi="Arial"/>
          <w:sz w:val="16"/>
          <w:szCs w:val="16"/>
          <w:color w:val="auto"/>
        </w:rPr>
        <w:t>. The Company shall have the power and the right to deduct or withhold automatically from any amount deliverable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or otherwise, or require a Participant to remit to the Company (or its Subsidiary or Affiliate, as applicable), the minimum statutory amount to satisfy foreign, federal, state, and/or local taxes, required by law or regulation to be withheld with respect to any taxable event arising as a result of the Plan, including without limitation, the applicable tax laws and regulations of the People’s Republic of China. With respect to any required withholdings, Participants may elect (subject to the Company’s automatic withholding right set out above), subject to the approval of the Committee and compliance with applicable laws, to satisfy the withholding requirement, in whole or in part, by having the Company withhold Shares having a Fair Market Value on the date the tax is to be determined equal to the minimum statutory total tax that could be imposed on the transaction.</w:t>
      </w:r>
    </w:p>
    <w:p>
      <w:pPr>
        <w:spacing w:after="0" w:line="161"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12.4 No Guarantees Regarding Tax Treatment</w:t>
      </w:r>
      <w:r>
        <w:rPr>
          <w:rFonts w:ascii="Arial" w:cs="Arial" w:eastAsia="Arial" w:hAnsi="Arial"/>
          <w:sz w:val="18"/>
          <w:szCs w:val="18"/>
          <w:color w:val="auto"/>
        </w:rPr>
        <w:t>. Participants (or their beneficiaries) shall be responsible for all taxes with respect to any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The Committee and the Company make no guarantees to any Person regarding the tax treatment of Awards or payments made under the Plan.</w:t>
      </w:r>
    </w:p>
    <w:p>
      <w:pPr>
        <w:spacing w:after="0" w:line="176" w:lineRule="exact"/>
        <w:rPr>
          <w:sz w:val="20"/>
          <w:szCs w:val="20"/>
          <w:color w:val="auto"/>
        </w:rPr>
      </w:pPr>
    </w:p>
    <w:p>
      <w:pPr>
        <w:ind w:right="160" w:firstLine="440"/>
        <w:spacing w:after="0" w:line="292" w:lineRule="auto"/>
        <w:rPr>
          <w:sz w:val="20"/>
          <w:szCs w:val="20"/>
          <w:color w:val="auto"/>
        </w:rPr>
      </w:pPr>
      <w:r>
        <w:rPr>
          <w:rFonts w:ascii="Arial" w:cs="Arial" w:eastAsia="Arial" w:hAnsi="Arial"/>
          <w:sz w:val="16"/>
          <w:szCs w:val="16"/>
          <w:b w:val="1"/>
          <w:bCs w:val="1"/>
          <w:color w:val="auto"/>
        </w:rPr>
        <w:t>12.5 Non-Transferability of Awards</w:t>
      </w:r>
      <w:r>
        <w:rPr>
          <w:rFonts w:ascii="Arial" w:cs="Arial" w:eastAsia="Arial" w:hAnsi="Arial"/>
          <w:sz w:val="16"/>
          <w:szCs w:val="16"/>
          <w:color w:val="auto"/>
        </w:rPr>
        <w:t>. Unless otherwise determined by the Committee, an Award shall not be transferable or assignable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except in the event of his death (subject to the applicable laws of descent and distribution) and any such purported assignment, alienation, pledge, attachment, sale, transfer or encumbrance shall be void and unenforceable against the Company or any Affiliate. No transfer shall be permitted for value or consideration. An award exercisable after the death of a Participant may be exercised by the legatees, personal representatives or distributees of the Participant. Any permitted transfer of the Awards to heirs or legatees of the Participant shall not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61" w:lineRule="exact"/>
        <w:rPr>
          <w:sz w:val="20"/>
          <w:szCs w:val="20"/>
          <w:color w:val="auto"/>
        </w:rPr>
      </w:pPr>
    </w:p>
    <w:p>
      <w:pPr>
        <w:ind w:right="140" w:firstLine="440"/>
        <w:spacing w:after="0" w:line="256" w:lineRule="auto"/>
        <w:rPr>
          <w:sz w:val="20"/>
          <w:szCs w:val="20"/>
          <w:color w:val="auto"/>
        </w:rPr>
      </w:pPr>
      <w:r>
        <w:rPr>
          <w:rFonts w:ascii="Arial" w:cs="Arial" w:eastAsia="Arial" w:hAnsi="Arial"/>
          <w:sz w:val="18"/>
          <w:szCs w:val="18"/>
          <w:b w:val="1"/>
          <w:bCs w:val="1"/>
          <w:color w:val="auto"/>
        </w:rPr>
        <w:t>12.6 Conditions and Restrictions on Shares</w:t>
      </w:r>
      <w:r>
        <w:rPr>
          <w:rFonts w:ascii="Arial" w:cs="Arial" w:eastAsia="Arial" w:hAnsi="Arial"/>
          <w:sz w:val="18"/>
          <w:szCs w:val="18"/>
          <w:color w:val="auto"/>
        </w:rPr>
        <w:t>. The Committee may impose such other conditions or restrictions on any Shares received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 Award as it may deem advisable or desirable. These restrictions may include, but shall not be limited to, requirements that the Participant: (a) become a signatory to the Company’s then-existing shareholders agreement; (b) hold the Shares received for a specified period of time; or (c) represent and warrant in writing that the Participant is acquiring the Shares for investment and without any present intention to sell or distribute such Shares. The certificates for Shares may include any legend which the Committee deems appropriate to reflect any conditions and restrictions applicable to such Shares.</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12.7 Shares Not Registered</w:t>
      </w:r>
      <w:r>
        <w:rPr>
          <w:rFonts w:ascii="Arial" w:cs="Arial" w:eastAsia="Arial" w:hAnsi="Arial"/>
          <w:sz w:val="17"/>
          <w:szCs w:val="17"/>
          <w:color w:val="auto"/>
        </w:rPr>
        <w:t>. Shares and Awards shall not be issued under this Plan unless the issuance and delivery of such Shares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or any Awards under this Plan, and accordingly any certificates for Shares or documents granting Awards may have an appropriate legend or statement of applicable restrictions endorsed thereon. If the Company deems it necessary to ensure that the issuance of securities under this Plan is not required to be registered under any applicable securities laws, each Participant to whom such security would be purchased or issued shall deliver to the Company an agreement or certificate containing such representations, warranties and covenants as the Company reasonably requires.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92" w:name="page193"/>
    <w:bookmarkEnd w:id="192"/>
    <w:p>
      <w:pPr>
        <w:ind w:left="4" w:right="18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12.8 Compliance with Applicable Laws</w:t>
      </w:r>
      <w:r>
        <w:rPr>
          <w:rFonts w:ascii="Arial" w:cs="Arial" w:eastAsia="Arial" w:hAnsi="Arial"/>
          <w:sz w:val="16"/>
          <w:szCs w:val="16"/>
          <w:color w:val="auto"/>
        </w:rPr>
        <w:t>. To comply with applicable laws in countries in which the Company or any Subsidiary or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or has Employees, Directors or Consultants, the Committee, in its sole discretion, shall have the power and authority to: (a) determine which Subsidiaries or Affiliates shall be covered by the Plan; (b) determine which Employees, Directors or Consultants are eligible to participate in the Plan;</w:t>
      </w:r>
    </w:p>
    <w:p>
      <w:pPr>
        <w:spacing w:after="0" w:line="2" w:lineRule="exact"/>
        <w:rPr>
          <w:sz w:val="20"/>
          <w:szCs w:val="20"/>
          <w:color w:val="auto"/>
        </w:rPr>
      </w:pPr>
    </w:p>
    <w:p>
      <w:pPr>
        <w:jc w:val="both"/>
        <w:ind w:left="4" w:right="180" w:hanging="4"/>
        <w:spacing w:after="0" w:line="253" w:lineRule="auto"/>
        <w:tabs>
          <w:tab w:leader="none" w:pos="24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Consultants to comply with applicable laws; (d) take any action, before or after an Award is made, that it deems advisable to obtain approval or comply with any necessary local government regulatory exemptions or approvals; and (e) establish subplans and modify exercise procedures and other terms and procedures, to the extent such actions may be necessary or advisable.</w:t>
      </w:r>
    </w:p>
    <w:p>
      <w:pPr>
        <w:spacing w:after="0" w:line="189" w:lineRule="exact"/>
        <w:rPr>
          <w:sz w:val="20"/>
          <w:szCs w:val="20"/>
          <w:color w:val="auto"/>
        </w:rPr>
      </w:pPr>
    </w:p>
    <w:p>
      <w:pPr>
        <w:ind w:left="4" w:right="260" w:firstLine="440"/>
        <w:spacing w:after="0" w:line="347" w:lineRule="auto"/>
        <w:rPr>
          <w:sz w:val="20"/>
          <w:szCs w:val="20"/>
          <w:color w:val="auto"/>
        </w:rPr>
      </w:pPr>
      <w:r>
        <w:rPr>
          <w:rFonts w:ascii="Arial" w:cs="Arial" w:eastAsia="Arial" w:hAnsi="Arial"/>
          <w:sz w:val="16"/>
          <w:szCs w:val="16"/>
          <w:b w:val="1"/>
          <w:bCs w:val="1"/>
          <w:color w:val="auto"/>
        </w:rPr>
        <w:t>12.9 Rights as a Shareholder</w:t>
      </w:r>
      <w:r>
        <w:rPr>
          <w:rFonts w:ascii="Arial" w:cs="Arial" w:eastAsia="Arial" w:hAnsi="Arial"/>
          <w:sz w:val="16"/>
          <w:szCs w:val="16"/>
          <w:color w:val="auto"/>
        </w:rPr>
        <w:t>. Except as otherwise provided herein or in the applicable Award Agreement, a Participant shall have none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a shareholder with respect to Shares covered by any Award until the Participant becomes the record holder of such Shares.</w:t>
      </w:r>
    </w:p>
    <w:p>
      <w:pPr>
        <w:spacing w:after="0" w:line="116"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7"/>
          <w:szCs w:val="17"/>
          <w:b w:val="1"/>
          <w:bCs w:val="1"/>
          <w:color w:val="auto"/>
        </w:rPr>
        <w:t>12.10 Severability</w:t>
      </w:r>
      <w:r>
        <w:rPr>
          <w:rFonts w:ascii="Arial" w:cs="Arial" w:eastAsia="Arial" w:hAnsi="Arial"/>
          <w:sz w:val="17"/>
          <w:szCs w:val="17"/>
          <w:color w:val="auto"/>
        </w:rPr>
        <w:t>. If any provision of the Plan or any Award is or becomes or is deemed to be invalid, illegal, or unenforceable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68"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b w:val="1"/>
          <w:bCs w:val="1"/>
          <w:color w:val="auto"/>
        </w:rPr>
        <w:t>12.11 Unfunded Plan</w:t>
      </w:r>
      <w:r>
        <w:rPr>
          <w:rFonts w:ascii="Arial" w:cs="Arial" w:eastAsia="Arial" w:hAnsi="Arial"/>
          <w:sz w:val="16"/>
          <w:szCs w:val="16"/>
          <w:color w:val="auto"/>
        </w:rPr>
        <w:t>. Participants shall have no right, title, or interest whatsoever in or to any investments that the Company or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or Affiliates may make to aid it in meeting its obligations under the 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The Plan is not subject to the U.S. Employee Retirement Income Security Act of 1974, as amended from time to time.</w:t>
      </w:r>
    </w:p>
    <w:p>
      <w:pPr>
        <w:spacing w:after="0" w:line="161" w:lineRule="exact"/>
        <w:rPr>
          <w:sz w:val="20"/>
          <w:szCs w:val="20"/>
          <w:color w:val="auto"/>
        </w:rPr>
      </w:pPr>
    </w:p>
    <w:p>
      <w:pPr>
        <w:ind w:left="4" w:right="180" w:firstLine="440"/>
        <w:spacing w:after="0" w:line="261" w:lineRule="auto"/>
        <w:rPr>
          <w:sz w:val="20"/>
          <w:szCs w:val="20"/>
          <w:color w:val="auto"/>
        </w:rPr>
      </w:pPr>
      <w:r>
        <w:rPr>
          <w:rFonts w:ascii="Arial" w:cs="Arial" w:eastAsia="Arial" w:hAnsi="Arial"/>
          <w:sz w:val="18"/>
          <w:szCs w:val="18"/>
          <w:b w:val="1"/>
          <w:bCs w:val="1"/>
          <w:color w:val="auto"/>
        </w:rPr>
        <w:t>12.12 No Constraint on Corporate Action</w:t>
      </w:r>
      <w:r>
        <w:rPr>
          <w:rFonts w:ascii="Arial" w:cs="Arial" w:eastAsia="Arial" w:hAnsi="Arial"/>
          <w:sz w:val="18"/>
          <w:szCs w:val="18"/>
          <w:color w:val="auto"/>
        </w:rPr>
        <w:t>. Nothing in the Plan shall be construed to: (a) limit, impair, or otherwise affect the Company’s right</w:t>
      </w:r>
      <w:r>
        <w:rPr>
          <w:rFonts w:ascii="Arial" w:cs="Arial" w:eastAsia="Arial" w:hAnsi="Arial"/>
          <w:sz w:val="18"/>
          <w:szCs w:val="18"/>
          <w:b w:val="1"/>
          <w:bCs w:val="1"/>
          <w:color w:val="auto"/>
        </w:rPr>
        <w:t xml:space="preserve"> </w:t>
      </w:r>
      <w:r>
        <w:rPr>
          <w:rFonts w:ascii="Arial" w:cs="Arial" w:eastAsia="Arial" w:hAnsi="Arial"/>
          <w:sz w:val="18"/>
          <w:szCs w:val="18"/>
          <w:color w:val="auto"/>
        </w:rPr>
        <w:t>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w:t>
      </w:r>
    </w:p>
    <w:p>
      <w:pPr>
        <w:spacing w:after="0" w:line="180"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b w:val="1"/>
          <w:bCs w:val="1"/>
          <w:color w:val="auto"/>
        </w:rPr>
        <w:t>12.13 Successors</w:t>
      </w:r>
      <w:r>
        <w:rPr>
          <w:rFonts w:ascii="Arial" w:cs="Arial" w:eastAsia="Arial" w:hAnsi="Arial"/>
          <w:sz w:val="18"/>
          <w:szCs w:val="18"/>
          <w:color w:val="auto"/>
        </w:rPr>
        <w:t>. All obligations of the Company under the Plan with respect to Awards granted hereunder shall be binding on any successor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whether the existence of such successor is the result of a direct or indirect purchase, merger, consolidation, or otherwise, of all or substantially all of the business or assets of the Company.</w:t>
      </w:r>
    </w:p>
    <w:p>
      <w:pPr>
        <w:spacing w:after="0" w:line="176"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12.14 Governing Law</w:t>
      </w:r>
      <w:r>
        <w:rPr>
          <w:rFonts w:ascii="Arial" w:cs="Arial" w:eastAsia="Arial" w:hAnsi="Arial"/>
          <w:sz w:val="18"/>
          <w:szCs w:val="18"/>
          <w:color w:val="auto"/>
        </w:rPr>
        <w:t>. This Plan and each Award Agreement and all claims or causes of action or other matters (whether in contract, tort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that may be based upon, arise out of or relate to this Plan or any Award Agreement or the negotiation, execution or performance of this Plan or</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193" w:name="page194"/>
    <w:bookmarkEnd w:id="193"/>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Award Agreement shall be governed by and construed in accordance with the laws of the Cayman Islands, excluding any conflict or choice of law rule or principle that might otherwise refer construction or interpretation of this Plan to the substantive law of another jurisdiction.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12.15 Effective Date</w:t>
      </w:r>
      <w:r>
        <w:rPr>
          <w:rFonts w:ascii="Arial" w:cs="Arial" w:eastAsia="Arial" w:hAnsi="Arial"/>
          <w:sz w:val="18"/>
          <w:szCs w:val="18"/>
          <w:color w:val="auto"/>
        </w:rPr>
        <w:t>. The Plan shall become effective as of the Effective Date.</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12.16 Shareholder Approval</w:t>
      </w:r>
      <w:r>
        <w:rPr>
          <w:rFonts w:ascii="Arial" w:cs="Arial" w:eastAsia="Arial" w:hAnsi="Arial"/>
          <w:sz w:val="18"/>
          <w:szCs w:val="18"/>
          <w:color w:val="auto"/>
        </w:rPr>
        <w:t>. The Plan will be submitted for approval by the shareholders of the Company at an annual meeting or any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of the Company within 12 months of the Effective Date. Any Awards granted under the Plan prior to such approval of shareholders shall be effective as of the date of grant, but no such Award may be exercised or settled and no restrictions relating to any Award may lapse prior to such shareholder approval, and if shareholders fail to approve the Plan as specified hereunder, the Plan and any Award shall be terminated and cancelled without consideration.</w:t>
      </w:r>
    </w:p>
    <w:p>
      <w:pPr>
        <w:spacing w:after="0" w:line="399" w:lineRule="exact"/>
        <w:rPr>
          <w:sz w:val="20"/>
          <w:szCs w:val="20"/>
          <w:color w:val="auto"/>
        </w:rPr>
      </w:pPr>
    </w:p>
    <w:p>
      <w:pPr>
        <w:jc w:val="center"/>
        <w:ind w:right="-19"/>
        <w:spacing w:after="0"/>
        <w:tabs>
          <w:tab w:leader="none" w:pos="200" w:val="left"/>
          <w:tab w:leader="none" w:pos="160" w:val="left"/>
        </w:tabs>
        <w:rPr>
          <w:sz w:val="20"/>
          <w:szCs w:val="20"/>
          <w:color w:val="auto"/>
        </w:rPr>
      </w:pPr>
      <w:r>
        <w:rPr>
          <w:rFonts w:ascii="Arial" w:cs="Arial" w:eastAsia="Arial" w:hAnsi="Arial"/>
          <w:sz w:val="18"/>
          <w:szCs w:val="18"/>
          <w:b w:val="1"/>
          <w:bCs w:val="1"/>
          <w:color w:val="auto"/>
        </w:rPr>
        <w:t>*</w:t>
        <w:tab/>
        <w:t>*</w:t>
        <w:tab/>
        <w:t>*</w:t>
      </w:r>
    </w:p>
    <w:p>
      <w:pPr>
        <w:spacing w:after="0" w:line="229" w:lineRule="exact"/>
        <w:rPr>
          <w:sz w:val="20"/>
          <w:szCs w:val="20"/>
          <w:color w:val="auto"/>
        </w:rPr>
      </w:pPr>
    </w:p>
    <w:p>
      <w:pPr>
        <w:ind w:right="500" w:firstLine="1432"/>
        <w:spacing w:after="0" w:line="342" w:lineRule="auto"/>
        <w:rPr>
          <w:sz w:val="20"/>
          <w:szCs w:val="20"/>
          <w:color w:val="auto"/>
        </w:rPr>
      </w:pPr>
      <w:r>
        <w:rPr>
          <w:rFonts w:ascii="Arial" w:cs="Arial" w:eastAsia="Arial" w:hAnsi="Arial"/>
          <w:sz w:val="16"/>
          <w:szCs w:val="16"/>
          <w:color w:val="auto"/>
        </w:rPr>
        <w:t>This Plan was duly adopted and approved by the Board of Directors of the Company on Oct 18</w:t>
      </w:r>
      <w:r>
        <w:rPr>
          <w:rFonts w:ascii="Arial" w:cs="Arial" w:eastAsia="Arial" w:hAnsi="Arial"/>
          <w:sz w:val="13"/>
          <w:szCs w:val="13"/>
          <w:color w:val="auto"/>
        </w:rPr>
        <w:t>th</w:t>
      </w:r>
      <w:r>
        <w:rPr>
          <w:rFonts w:ascii="Arial" w:cs="Arial" w:eastAsia="Arial" w:hAnsi="Arial"/>
          <w:sz w:val="16"/>
          <w:szCs w:val="16"/>
          <w:color w:val="auto"/>
        </w:rPr>
        <w:t>, 2010 and was amended and restated on November 3, 2014 and further amended and restated on August 6, 2016 and further amended and restated on September 15, 2020.</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F-3) and related Prospectus of iQIYI, Inc. for the registration of debt securities and Class A ordinary shares and to the incorporation by reference therein of our reports dated March 12, 2020, with respect to the consolidated financial statements of iQIYI, Inc., and the effectiveness of internal control over financial reporting of iQIYI, Inc., included in its Annual Report (Form 20-F) for the year ended December 31, 2019,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Hua Ming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2020</w:t>
      </w:r>
    </w:p>
    <w:p>
      <w:pPr>
        <w:sectPr>
          <w:pgSz w:w="11900" w:h="16838" w:orient="portrait"/>
          <w:cols w:equalWidth="0" w:num="1">
            <w:col w:w="11020"/>
          </w:cols>
          <w:pgMar w:left="440" w:top="121" w:right="4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right="180" w:hanging="424"/>
        <w:spacing w:after="0" w:line="256" w:lineRule="auto"/>
        <w:tabs>
          <w:tab w:leader="none" w:pos="424" w:val="left"/>
        </w:tabs>
        <w:numPr>
          <w:ilvl w:val="0"/>
          <w:numId w:val="188"/>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206375</wp:posOffset>
            </wp:positionV>
            <wp:extent cx="1474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Citibank,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262255</wp:posOffset>
            </wp:positionV>
            <wp:extent cx="1474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04" w:type="dxa"/>
        <w:tblCellMar>
          <w:top w:w="0" w:type="dxa"/>
          <w:left w:w="0" w:type="dxa"/>
          <w:bottom w:w="0" w:type="dxa"/>
          <w:right w:w="0" w:type="dxa"/>
        </w:tblCellMar>
      </w:tblPr>
      <w:tr>
        <w:trPr>
          <w:trHeight w:val="212"/>
        </w:trPr>
        <w:tc>
          <w:tcPr>
            <w:tcW w:w="50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A National Banking Association</w:t>
            </w:r>
          </w:p>
        </w:tc>
        <w:tc>
          <w:tcPr>
            <w:tcW w:w="2760" w:type="dxa"/>
            <w:vAlign w:val="bottom"/>
          </w:tcPr>
          <w:p>
            <w:pPr>
              <w:jc w:val="right"/>
              <w:ind w:right="21"/>
              <w:spacing w:after="0"/>
              <w:rPr>
                <w:sz w:val="20"/>
                <w:szCs w:val="20"/>
                <w:color w:val="auto"/>
              </w:rPr>
            </w:pPr>
            <w:r>
              <w:rPr>
                <w:rFonts w:ascii="Arial" w:cs="Arial" w:eastAsia="Arial" w:hAnsi="Arial"/>
                <w:sz w:val="18"/>
                <w:szCs w:val="18"/>
                <w:b w:val="1"/>
                <w:bCs w:val="1"/>
                <w:color w:val="auto"/>
              </w:rPr>
              <w:t>13-5266470</w:t>
            </w:r>
          </w:p>
        </w:tc>
      </w:tr>
      <w:tr>
        <w:trPr>
          <w:trHeight w:val="148"/>
        </w:trPr>
        <w:tc>
          <w:tcPr>
            <w:tcW w:w="5020" w:type="dxa"/>
            <w:vAlign w:val="bottom"/>
          </w:tcPr>
          <w:p>
            <w:pPr>
              <w:spacing w:after="0"/>
              <w:rPr>
                <w:sz w:val="12"/>
                <w:szCs w:val="12"/>
                <w:color w:val="auto"/>
              </w:rPr>
            </w:pPr>
          </w:p>
        </w:tc>
        <w:tc>
          <w:tcPr>
            <w:tcW w:w="276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020" w:type="dxa"/>
            <w:vAlign w:val="bottom"/>
          </w:tcPr>
          <w:p>
            <w:pPr>
              <w:spacing w:after="0"/>
              <w:rPr>
                <w:sz w:val="16"/>
                <w:szCs w:val="16"/>
                <w:color w:val="auto"/>
              </w:rPr>
            </w:pPr>
          </w:p>
        </w:tc>
        <w:tc>
          <w:tcPr>
            <w:tcW w:w="2760" w:type="dxa"/>
            <w:vAlign w:val="bottom"/>
          </w:tcPr>
          <w:p>
            <w:pPr>
              <w:jc w:val="center"/>
              <w:ind w:left="1601"/>
              <w:spacing w:after="0"/>
              <w:rPr>
                <w:sz w:val="20"/>
                <w:szCs w:val="20"/>
                <w:color w:val="auto"/>
              </w:rPr>
            </w:pPr>
            <w:r>
              <w:rPr>
                <w:rFonts w:ascii="Arial" w:cs="Arial" w:eastAsia="Arial" w:hAnsi="Arial"/>
                <w:sz w:val="14"/>
                <w:szCs w:val="14"/>
                <w:b w:val="1"/>
                <w:bCs w:val="1"/>
                <w:color w:val="auto"/>
                <w:w w:val="92"/>
              </w:rPr>
              <w:t>identification no.)</w:t>
            </w:r>
          </w:p>
        </w:tc>
      </w:tr>
      <w:tr>
        <w:trPr>
          <w:trHeight w:val="408"/>
        </w:trPr>
        <w:tc>
          <w:tcPr>
            <w:tcW w:w="5020" w:type="dxa"/>
            <w:vAlign w:val="bottom"/>
          </w:tcPr>
          <w:p>
            <w:pPr>
              <w:jc w:val="center"/>
              <w:ind w:right="1576"/>
              <w:spacing w:after="0"/>
              <w:rPr>
                <w:sz w:val="20"/>
                <w:szCs w:val="20"/>
                <w:color w:val="auto"/>
              </w:rPr>
            </w:pPr>
            <w:r>
              <w:rPr>
                <w:rFonts w:ascii="Arial" w:cs="Arial" w:eastAsia="Arial" w:hAnsi="Arial"/>
                <w:sz w:val="18"/>
                <w:szCs w:val="18"/>
                <w:b w:val="1"/>
                <w:bCs w:val="1"/>
                <w:color w:val="auto"/>
                <w:w w:val="91"/>
              </w:rPr>
              <w:t>388 Greenwich Street, New York, New York</w:t>
            </w:r>
          </w:p>
        </w:tc>
        <w:tc>
          <w:tcPr>
            <w:tcW w:w="2760" w:type="dxa"/>
            <w:vAlign w:val="bottom"/>
          </w:tcPr>
          <w:p>
            <w:pPr>
              <w:jc w:val="right"/>
              <w:ind w:right="241"/>
              <w:spacing w:after="0"/>
              <w:rPr>
                <w:sz w:val="20"/>
                <w:szCs w:val="20"/>
                <w:color w:val="auto"/>
              </w:rPr>
            </w:pPr>
            <w:r>
              <w:rPr>
                <w:rFonts w:ascii="Arial" w:cs="Arial" w:eastAsia="Arial" w:hAnsi="Arial"/>
                <w:sz w:val="18"/>
                <w:szCs w:val="18"/>
                <w:b w:val="1"/>
                <w:bCs w:val="1"/>
                <w:color w:val="auto"/>
              </w:rPr>
              <w:t>10013</w:t>
            </w:r>
          </w:p>
        </w:tc>
      </w:tr>
      <w:tr>
        <w:trPr>
          <w:trHeight w:val="186"/>
        </w:trPr>
        <w:tc>
          <w:tcPr>
            <w:tcW w:w="5020" w:type="dxa"/>
            <w:vAlign w:val="bottom"/>
          </w:tcPr>
          <w:p>
            <w:pPr>
              <w:jc w:val="center"/>
              <w:ind w:right="1576"/>
              <w:spacing w:after="0"/>
              <w:rPr>
                <w:sz w:val="20"/>
                <w:szCs w:val="20"/>
                <w:color w:val="auto"/>
              </w:rPr>
            </w:pPr>
            <w:r>
              <w:rPr>
                <w:rFonts w:ascii="Arial" w:cs="Arial" w:eastAsia="Arial" w:hAnsi="Arial"/>
                <w:sz w:val="14"/>
                <w:szCs w:val="14"/>
                <w:b w:val="1"/>
                <w:bCs w:val="1"/>
                <w:color w:val="auto"/>
                <w:w w:val="91"/>
              </w:rPr>
              <w:t>(Address of principal executive office)</w:t>
            </w:r>
          </w:p>
        </w:tc>
        <w:tc>
          <w:tcPr>
            <w:tcW w:w="2760" w:type="dxa"/>
            <w:vAlign w:val="bottom"/>
          </w:tcPr>
          <w:p>
            <w:pPr>
              <w:jc w:val="center"/>
              <w:ind w:left="1601"/>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iQIYI,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6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0"/>
          <w:szCs w:val="20"/>
          <w:color w:val="auto"/>
        </w:rPr>
      </w:pPr>
    </w:p>
    <w:p>
      <w:pPr>
        <w:sectPr>
          <w:pgSz w:w="11900" w:h="16838" w:orient="portrait"/>
          <w:cols w:equalWidth="0" w:num="2">
            <w:col w:w="7044" w:space="720"/>
            <w:col w:w="3260"/>
          </w:cols>
          <w:pgMar w:left="436" w:top="121" w:right="439" w:bottom="1440" w:gutter="0" w:footer="0" w:header="0"/>
          <w:type w:val="continuous"/>
        </w:sectPr>
      </w:pPr>
    </w:p>
    <w:p>
      <w:pPr>
        <w:spacing w:after="0" w:line="12" w:lineRule="exact"/>
        <w:rPr>
          <w:sz w:val="20"/>
          <w:szCs w:val="20"/>
          <w:color w:val="auto"/>
        </w:rPr>
      </w:pPr>
    </w:p>
    <w:p>
      <w:pPr>
        <w:ind w:left="1884"/>
        <w:spacing w:after="0"/>
        <w:rPr>
          <w:sz w:val="20"/>
          <w:szCs w:val="20"/>
          <w:color w:val="auto"/>
        </w:rPr>
      </w:pPr>
      <w:r>
        <w:rPr>
          <w:rFonts w:ascii="Arial" w:cs="Arial" w:eastAsia="Arial" w:hAnsi="Arial"/>
          <w:sz w:val="13"/>
          <w:szCs w:val="13"/>
          <w:b w:val="1"/>
          <w:bCs w:val="1"/>
          <w:color w:val="auto"/>
        </w:rPr>
        <w:t>(State or other jurisdiction of</w:t>
      </w:r>
    </w:p>
    <w:p>
      <w:pPr>
        <w:ind w:left="184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Arial" w:cs="Arial" w:eastAsia="Arial" w:hAnsi="Arial"/>
          <w:sz w:val="14"/>
          <w:szCs w:val="14"/>
          <w:b w:val="1"/>
          <w:bCs w:val="1"/>
          <w:color w:val="auto"/>
        </w:rPr>
        <w:t>(I.R.S. Employer</w:t>
      </w:r>
    </w:p>
    <w:p>
      <w:pPr>
        <w:jc w:val="center"/>
        <w:ind w:right="19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0"/>
          <w:szCs w:val="20"/>
          <w:color w:val="auto"/>
        </w:rPr>
      </w:pPr>
    </w:p>
    <w:p>
      <w:pPr>
        <w:sectPr>
          <w:pgSz w:w="11900" w:h="16838" w:orient="portrait"/>
          <w:cols w:equalWidth="0" w:num="2">
            <w:col w:w="6904" w:space="720"/>
            <w:col w:w="3400"/>
          </w:cols>
          <w:pgMar w:left="436" w:top="121" w:right="439" w:bottom="1440" w:gutter="0" w:footer="0" w:header="0"/>
          <w:type w:val="continuous"/>
        </w:sectPr>
      </w:pPr>
    </w:p>
    <w:p>
      <w:pPr>
        <w:spacing w:after="0" w:line="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9/F, iQIYI Innovation Building</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 2 Haidian North First Street, Haidian District</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Beijing 100080, People’s Republic of China</w:t>
      </w:r>
    </w:p>
    <w:p>
      <w:pPr>
        <w:sectPr>
          <w:pgSz w:w="11900" w:h="16838" w:orient="portrait"/>
          <w:cols w:equalWidth="0" w:num="1">
            <w:col w:w="11024"/>
          </w:cols>
          <w:pgMar w:left="436" w:top="121" w:right="439" w:bottom="1440" w:gutter="0" w:footer="0" w:header="0"/>
          <w:type w:val="continuous"/>
        </w:sectPr>
      </w:pP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type w:val="continuous"/>
        </w:sectPr>
      </w:pPr>
    </w:p>
    <w:bookmarkStart w:id="196" w:name="page197"/>
    <w:bookmarkEnd w:id="196"/>
    <w:p>
      <w:pPr>
        <w:jc w:val="center"/>
        <w:ind w:right="-2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Debt Securities</w:t>
      </w:r>
    </w:p>
    <w:p>
      <w:pPr>
        <w:spacing w:after="0" w:line="248" w:lineRule="exact"/>
        <w:rPr>
          <w:sz w:val="20"/>
          <w:szCs w:val="20"/>
          <w:color w:val="auto"/>
        </w:rPr>
      </w:pPr>
    </w:p>
    <w:p>
      <w:pPr>
        <w:ind w:left="424" w:hanging="424"/>
        <w:spacing w:after="0"/>
        <w:tabs>
          <w:tab w:leader="none" w:pos="424"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39" w:lineRule="exact"/>
        <w:rPr>
          <w:sz w:val="20"/>
          <w:szCs w:val="20"/>
          <w:color w:val="auto"/>
        </w:rPr>
      </w:pPr>
    </w:p>
    <w:tbl>
      <w:tblPr>
        <w:tblLayout w:type="fixed"/>
        <w:tblInd w:w="1004"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Arial" w:cs="Arial" w:eastAsia="Arial" w:hAnsi="Arial"/>
                <w:sz w:val="18"/>
                <w:szCs w:val="18"/>
                <w:color w:val="auto"/>
              </w:rPr>
              <w:t>Name</w:t>
            </w:r>
          </w:p>
        </w:tc>
        <w:tc>
          <w:tcPr>
            <w:tcW w:w="2400" w:type="dxa"/>
            <w:vAlign w:val="bottom"/>
            <w:gridSpan w:val="2"/>
          </w:tcPr>
          <w:p>
            <w:pPr>
              <w:spacing w:after="0"/>
              <w:rPr>
                <w:sz w:val="20"/>
                <w:szCs w:val="20"/>
                <w:color w:val="auto"/>
              </w:rPr>
            </w:pPr>
            <w:r>
              <w:rPr>
                <w:rFonts w:ascii="Arial" w:cs="Arial" w:eastAsia="Arial" w:hAnsi="Arial"/>
                <w:sz w:val="18"/>
                <w:szCs w:val="18"/>
                <w:color w:val="auto"/>
              </w:rPr>
              <w:t>Address</w:t>
            </w:r>
          </w:p>
        </w:tc>
      </w:tr>
      <w:tr>
        <w:trPr>
          <w:trHeight w:val="20"/>
        </w:trPr>
        <w:tc>
          <w:tcPr>
            <w:tcW w:w="4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Comptroller of the Currency</w:t>
            </w:r>
          </w:p>
        </w:tc>
        <w:tc>
          <w:tcPr>
            <w:tcW w:w="2400" w:type="dxa"/>
            <w:vAlign w:val="bottom"/>
            <w:gridSpan w:val="2"/>
          </w:tcPr>
          <w:p>
            <w:pPr>
              <w:spacing w:after="0"/>
              <w:rPr>
                <w:sz w:val="20"/>
                <w:szCs w:val="20"/>
                <w:color w:val="auto"/>
              </w:rPr>
            </w:pPr>
            <w:r>
              <w:rPr>
                <w:rFonts w:ascii="Arial" w:cs="Arial" w:eastAsia="Arial" w:hAnsi="Arial"/>
                <w:sz w:val="18"/>
                <w:szCs w:val="18"/>
                <w:color w:val="auto"/>
              </w:rPr>
              <w:t>Washington, D.C.</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Federal Reserve Bank of New York</w:t>
            </w:r>
          </w:p>
        </w:tc>
        <w:tc>
          <w:tcPr>
            <w:tcW w:w="2400" w:type="dxa"/>
            <w:vAlign w:val="bottom"/>
            <w:gridSpan w:val="2"/>
          </w:tcPr>
          <w:p>
            <w:pPr>
              <w:spacing w:after="0"/>
              <w:rPr>
                <w:sz w:val="20"/>
                <w:szCs w:val="20"/>
                <w:color w:val="auto"/>
              </w:rPr>
            </w:pPr>
            <w:r>
              <w:rPr>
                <w:rFonts w:ascii="Arial" w:cs="Arial" w:eastAsia="Arial" w:hAnsi="Arial"/>
                <w:sz w:val="18"/>
                <w:szCs w:val="18"/>
                <w:color w:val="auto"/>
                <w:w w:val="93"/>
              </w:rPr>
              <w:t>33 Liberty Street, New York, NY</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2400" w:type="dxa"/>
            <w:vAlign w:val="bottom"/>
            <w:gridSpan w:val="2"/>
          </w:tcPr>
          <w:p>
            <w:pPr>
              <w:spacing w:after="0"/>
              <w:rPr>
                <w:sz w:val="20"/>
                <w:szCs w:val="20"/>
                <w:color w:val="auto"/>
              </w:rPr>
            </w:pPr>
            <w:r>
              <w:rPr>
                <w:rFonts w:ascii="Arial" w:cs="Arial" w:eastAsia="Arial" w:hAnsi="Arial"/>
                <w:sz w:val="18"/>
                <w:szCs w:val="18"/>
                <w:color w:val="auto"/>
              </w:rPr>
              <w:t>Washington, D.C.</w:t>
            </w:r>
          </w:p>
        </w:tc>
      </w:tr>
    </w:tbl>
    <w:p>
      <w:pPr>
        <w:spacing w:after="0" w:line="225" w:lineRule="exact"/>
        <w:rPr>
          <w:sz w:val="20"/>
          <w:szCs w:val="20"/>
          <w:color w:val="auto"/>
        </w:rPr>
      </w:pPr>
    </w:p>
    <w:p>
      <w:pPr>
        <w:ind w:left="984" w:right="5440" w:hanging="552"/>
        <w:spacing w:after="0" w:line="407" w:lineRule="auto"/>
        <w:tabs>
          <w:tab w:leader="none" w:pos="965"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Whether it is authorized to exercise corporate trust powers. </w:t>
      </w:r>
      <w:r>
        <w:rPr>
          <w:rFonts w:ascii="Arial" w:cs="Arial" w:eastAsia="Arial" w:hAnsi="Arial"/>
          <w:sz w:val="18"/>
          <w:szCs w:val="18"/>
          <w:color w:val="auto"/>
        </w:rPr>
        <w:t>Yes.</w:t>
      </w:r>
    </w:p>
    <w:p>
      <w:pPr>
        <w:spacing w:after="0" w:line="202" w:lineRule="exact"/>
        <w:rPr>
          <w:rFonts w:ascii="Arial" w:cs="Arial" w:eastAsia="Arial" w:hAnsi="Arial"/>
          <w:sz w:val="18"/>
          <w:szCs w:val="18"/>
          <w:b w:val="1"/>
          <w:bCs w:val="1"/>
          <w:color w:val="auto"/>
        </w:rPr>
      </w:pPr>
    </w:p>
    <w:p>
      <w:pPr>
        <w:ind w:left="424" w:hanging="424"/>
        <w:spacing w:after="0"/>
        <w:tabs>
          <w:tab w:leader="none" w:pos="42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984" w:right="5080" w:hanging="551"/>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06"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7"/>
          <w:szCs w:val="17"/>
          <w:color w:val="auto"/>
        </w:rPr>
        <w:t>List of Exhibits.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List below all exhibits filed as a part of this Statement of Eligibility.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Exhibits identified in parentheses below, on file with the Commission, are incorporated herein by reference as exhibits hereto.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Exhibit 1 - Copy of Articles of Association of the Trustee, as now in effect. (Exhibit 1 to T-1 to Registration Statement No. 2-79983)</w:t>
      </w:r>
    </w:p>
    <w:p>
      <w:pPr>
        <w:spacing w:after="0" w:line="1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Exhibit 2 - Copy of certificate of authority of the Trustee to commence business. (Exhibit 2 to T-1 to Registration Statement No. 2-29577).</w:t>
      </w:r>
    </w:p>
    <w:p>
      <w:pPr>
        <w:spacing w:after="0" w:line="140" w:lineRule="exact"/>
        <w:rPr>
          <w:sz w:val="20"/>
          <w:szCs w:val="20"/>
          <w:color w:val="auto"/>
        </w:rPr>
      </w:pPr>
    </w:p>
    <w:p>
      <w:pPr>
        <w:ind w:left="984" w:right="920"/>
        <w:spacing w:after="0" w:line="277" w:lineRule="auto"/>
        <w:rPr>
          <w:sz w:val="20"/>
          <w:szCs w:val="20"/>
          <w:color w:val="auto"/>
        </w:rPr>
      </w:pPr>
      <w:r>
        <w:rPr>
          <w:rFonts w:ascii="Arial" w:cs="Arial" w:eastAsia="Arial" w:hAnsi="Arial"/>
          <w:sz w:val="18"/>
          <w:szCs w:val="18"/>
          <w:color w:val="auto"/>
        </w:rPr>
        <w:t>Exhibit 3 - Copy of authorization of the Trustee to exercise corporate trust powers. (Exhibit 3 to T-1 to Registration Statement No. 2-55519)</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Exhibit 4 - Copy of existing By-Laws of the Trustee. (Exhibit 4 to T-1 to Registration Statement No. 33-34988)</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Exhibit 5 - Not applicable.</w:t>
      </w:r>
    </w:p>
    <w:p>
      <w:pPr>
        <w:spacing w:after="0" w:line="117" w:lineRule="exact"/>
        <w:rPr>
          <w:sz w:val="20"/>
          <w:szCs w:val="20"/>
          <w:color w:val="auto"/>
        </w:rPr>
      </w:pPr>
    </w:p>
    <w:p>
      <w:pPr>
        <w:jc w:val="both"/>
        <w:ind w:left="984"/>
        <w:spacing w:after="0" w:line="311" w:lineRule="auto"/>
        <w:rPr>
          <w:sz w:val="20"/>
          <w:szCs w:val="20"/>
          <w:color w:val="auto"/>
        </w:rPr>
      </w:pPr>
      <w:r>
        <w:rPr>
          <w:rFonts w:ascii="Arial" w:cs="Arial" w:eastAsia="Arial" w:hAnsi="Arial"/>
          <w:sz w:val="16"/>
          <w:szCs w:val="16"/>
          <w:color w:val="auto"/>
        </w:rPr>
        <w:t>Exhibit 6 – The consent of the Trustee required by Section 321 (b)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4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Exhibit 7 - Copy of the latest Report of Condition of Citibank, N.A. (as of December 31, 2018 - attached)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Exhibit 8 - Not applicable.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Exhibit 9 -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197" w:name="page198"/>
    <w:bookmarkEnd w:id="197"/>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Citibank, N.A., a national banking association organized and existing under the laws of the United States of America, has duly caused this Statement of Eligibility to be signed on its behalf by the undersigned, thereunto duly authorized, all in the City of New York and State of New York, on the 15</w:t>
      </w:r>
      <w:r>
        <w:rPr>
          <w:rFonts w:ascii="Arial" w:cs="Arial" w:eastAsia="Arial" w:hAnsi="Arial"/>
          <w:sz w:val="14"/>
          <w:szCs w:val="14"/>
          <w:color w:val="auto"/>
        </w:rPr>
        <w:t>th</w:t>
      </w:r>
      <w:r>
        <w:rPr>
          <w:rFonts w:ascii="Arial" w:cs="Arial" w:eastAsia="Arial" w:hAnsi="Arial"/>
          <w:sz w:val="17"/>
          <w:szCs w:val="17"/>
          <w:color w:val="auto"/>
        </w:rPr>
        <w:t xml:space="preserve"> day of December, 2020.</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Danny Lee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Trust Officer</w:t>
      </w: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decimal"/>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1)"/>
      <w:numFmt w:val="lowerRoman"/>
      <w:start w:val="2"/>
    </w:lvl>
  </w:abstractNum>
  <w:abstractNum w:abstractNumId="14">
    <w:nsid w:val="3FA62ACA"/>
    <w:multiLevelType w:val="hybridMultilevel"/>
    <w:lvl w:ilvl="0">
      <w:lvlJc w:val="left"/>
      <w:lvlText w:val="(%1)"/>
      <w:numFmt w:val="lowerLetter"/>
      <w:start w:val="2"/>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1)"/>
      <w:numFmt w:val="lowerRoman"/>
      <w:start w:val="2"/>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1)"/>
      <w:numFmt w:val="lowerLetter"/>
      <w:start w:val="2"/>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1)"/>
      <w:numFmt w:val="lowerRoman"/>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1)"/>
      <w:numFmt w:val="lowerRoman"/>
      <w:start w:val="1"/>
    </w:lvl>
  </w:abstractNum>
  <w:abstractNum w:abstractNumId="34">
    <w:nsid w:val="45E6D486"/>
    <w:multiLevelType w:val="hybridMultilevel"/>
    <w:lvl w:ilvl="0">
      <w:lvlJc w:val="left"/>
      <w:lvlText w:val="(%1)"/>
      <w:numFmt w:val="lowerRoman"/>
      <w:start w:val="2"/>
    </w:lvl>
  </w:abstractNum>
  <w:abstractNum w:abstractNumId="35">
    <w:nsid w:val="5C10FE21"/>
    <w:multiLevelType w:val="hybridMultilevel"/>
    <w:lvl w:ilvl="0">
      <w:lvlJc w:val="left"/>
      <w:lvlText w:val="(%1)"/>
      <w:numFmt w:val="lowerRoman"/>
      <w:start w:val="1"/>
    </w:lvl>
  </w:abstractNum>
  <w:abstractNum w:abstractNumId="36">
    <w:nsid w:val="E7FFA2B"/>
    <w:multiLevelType w:val="hybridMultilevel"/>
    <w:lvl w:ilvl="0">
      <w:lvlJc w:val="left"/>
      <w:lvlText w:val="(%1)"/>
      <w:numFmt w:val="lowerRoman"/>
      <w:start w:val="1"/>
    </w:lvl>
  </w:abstractNum>
  <w:abstractNum w:abstractNumId="37">
    <w:nsid w:val="3C5991AA"/>
    <w:multiLevelType w:val="hybridMultilevel"/>
    <w:lvl w:ilvl="0">
      <w:lvlJc w:val="left"/>
      <w:lvlText w:val="(%1)"/>
      <w:numFmt w:val="lowerRoman"/>
      <w:start w:val="10"/>
    </w:lvl>
  </w:abstractNum>
  <w:abstractNum w:abstractNumId="38">
    <w:nsid w:val="4BD8591A"/>
    <w:multiLevelType w:val="hybridMultilevel"/>
    <w:lvl w:ilvl="0">
      <w:lvlJc w:val="left"/>
      <w:lvlText w:val="(%1)"/>
      <w:numFmt w:val="lowerRoman"/>
      <w:start w:val="1"/>
    </w:lvl>
  </w:abstractNum>
  <w:abstractNum w:abstractNumId="39">
    <w:nsid w:val="78DF6A55"/>
    <w:multiLevelType w:val="hybridMultilevel"/>
    <w:lvl w:ilvl="0">
      <w:lvlJc w:val="left"/>
      <w:lvlText w:val="(%1)"/>
      <w:numFmt w:val="lowerRoman"/>
      <w:start w:val="1"/>
    </w:lvl>
  </w:abstractNum>
  <w:abstractNum w:abstractNumId="40">
    <w:nsid w:val="39B7AAA2"/>
    <w:multiLevelType w:val="hybridMultilevel"/>
    <w:lvl w:ilvl="0">
      <w:lvlJc w:val="left"/>
      <w:lvlText w:val="(%1)"/>
      <w:numFmt w:val="lowerRoman"/>
      <w:start w:val="9"/>
    </w:lvl>
  </w:abstractNum>
  <w:abstractNum w:abstractNumId="41">
    <w:nsid w:val="2B0D8DBE"/>
    <w:multiLevelType w:val="hybridMultilevel"/>
    <w:lvl w:ilvl="0">
      <w:lvlJc w:val="left"/>
      <w:lvlText w:val="(%1)"/>
      <w:numFmt w:val="lowerRoman"/>
      <w:start w:val="5"/>
    </w:lvl>
  </w:abstractNum>
  <w:abstractNum w:abstractNumId="42">
    <w:nsid w:val="6C80EC70"/>
    <w:multiLevelType w:val="hybridMultilevel"/>
    <w:lvl w:ilvl="0">
      <w:lvlJc w:val="left"/>
      <w:lvlText w:val="(%1)"/>
      <w:numFmt w:val="decimal"/>
      <w:start w:val="1"/>
    </w:lvl>
  </w:abstractNum>
  <w:abstractNum w:abstractNumId="43">
    <w:nsid w:val="379E21B5"/>
    <w:multiLevelType w:val="hybridMultilevel"/>
    <w:lvl w:ilvl="0">
      <w:lvlJc w:val="left"/>
      <w:lvlText w:val="(%1)"/>
      <w:numFmt w:val="decimal"/>
      <w:start w:val="1"/>
    </w:lvl>
  </w:abstractNum>
  <w:abstractNum w:abstractNumId="44">
    <w:nsid w:val="69E373"/>
    <w:multiLevelType w:val="hybridMultilevel"/>
    <w:lvl w:ilvl="0">
      <w:lvlJc w:val="left"/>
      <w:lvlText w:val="(%1)"/>
      <w:numFmt w:val="decimal"/>
      <w:start w:val="2"/>
    </w:lvl>
  </w:abstractNum>
  <w:abstractNum w:abstractNumId="45">
    <w:nsid w:val="2C27173B"/>
    <w:multiLevelType w:val="hybridMultilevel"/>
    <w:lvl w:ilvl="0">
      <w:lvlJc w:val="left"/>
      <w:lvlText w:val="(%1)"/>
      <w:numFmt w:val="decimal"/>
      <w:start w:val="1"/>
    </w:lvl>
    <w:lvl w:ilvl="1">
      <w:lvlJc w:val="left"/>
      <w:lvlText w:val="(%2)"/>
      <w:numFmt w:val="lowerLetter"/>
      <w:start w:val="1"/>
    </w:lvl>
  </w:abstractNum>
  <w:abstractNum w:abstractNumId="46">
    <w:nsid w:val="4C9B0904"/>
    <w:multiLevelType w:val="hybridMultilevel"/>
    <w:lvl w:ilvl="0">
      <w:lvlJc w:val="left"/>
      <w:lvlText w:val="(%1)"/>
      <w:numFmt w:val="decimal"/>
      <w:start w:val="2"/>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
      <w:numFmt w:val="bullet"/>
      <w:start w:val="1"/>
    </w:lvl>
  </w:abstractNum>
  <w:abstractNum w:abstractNumId="50">
    <w:nsid w:val="3DD15094"/>
    <w:multiLevelType w:val="hybridMultilevel"/>
    <w:lvl w:ilvl="0">
      <w:lvlJc w:val="left"/>
      <w:lvlText w:val="•"/>
      <w:numFmt w:val="bullet"/>
      <w:start w:val="1"/>
    </w:lvl>
  </w:abstractNum>
  <w:abstractNum w:abstractNumId="51">
    <w:nsid w:val="3DB012B3"/>
    <w:multiLevelType w:val="hybridMultilevel"/>
    <w:lvl w:ilvl="0">
      <w:lvlJc w:val="left"/>
      <w:lvlText w:val="•"/>
      <w:numFmt w:val="bullet"/>
      <w:start w:val="1"/>
    </w:lvl>
  </w:abstractNum>
  <w:abstractNum w:abstractNumId="52">
    <w:nsid w:val="2708C9AF"/>
    <w:multiLevelType w:val="hybridMultilevel"/>
    <w:lvl w:ilvl="0">
      <w:lvlJc w:val="left"/>
      <w:lvlText w:val="•"/>
      <w:numFmt w:val="bullet"/>
      <w:start w:val="1"/>
    </w:lvl>
  </w:abstractNum>
  <w:abstractNum w:abstractNumId="53">
    <w:nsid w:val="5B25ACE2"/>
    <w:multiLevelType w:val="hybridMultilevel"/>
    <w:lvl w:ilvl="0">
      <w:lvlJc w:val="left"/>
      <w:lvlText w:val="•"/>
      <w:numFmt w:val="bullet"/>
      <w:start w:val="1"/>
    </w:lvl>
  </w:abstractNum>
  <w:abstractNum w:abstractNumId="54">
    <w:nsid w:val="175DFCF0"/>
    <w:multiLevelType w:val="hybridMultilevel"/>
    <w:lvl w:ilvl="0">
      <w:lvlJc w:val="left"/>
      <w:lvlText w:val="•"/>
      <w:numFmt w:val="bullet"/>
      <w:start w:val="1"/>
    </w:lvl>
  </w:abstractNum>
  <w:abstractNum w:abstractNumId="55">
    <w:nsid w:val="4F97E3E4"/>
    <w:multiLevelType w:val="hybridMultilevel"/>
    <w:lvl w:ilvl="0">
      <w:lvlJc w:val="left"/>
      <w:lvlText w:val="•"/>
      <w:numFmt w:val="bullet"/>
      <w:start w:val="1"/>
    </w:lvl>
  </w:abstractNum>
  <w:abstractNum w:abstractNumId="56">
    <w:nsid w:val="53B0A9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7">
    <w:nsid w:val="34FD6B4F"/>
    <w:multiLevelType w:val="hybridMultilevel"/>
    <w:lvl w:ilvl="0">
      <w:lvlJc w:val="left"/>
      <w:lvlText w:val="(%1)"/>
      <w:numFmt w:val="decimal"/>
      <w:start w:val="2"/>
    </w:lvl>
    <w:lvl w:ilvl="1">
      <w:lvlJc w:val="left"/>
      <w:lvlText w:val="(%2)"/>
      <w:numFmt w:val="lowerRoman"/>
      <w:start w:val="1"/>
    </w:lvl>
  </w:abstractNum>
  <w:abstractNum w:abstractNumId="58">
    <w:nsid w:val="5915FF32"/>
    <w:multiLevelType w:val="hybridMultilevel"/>
    <w:lvl w:ilvl="0">
      <w:lvlJc w:val="left"/>
      <w:lvlText w:val="(%1)"/>
      <w:numFmt w:val="decimal"/>
      <w:start w:val="6"/>
    </w:lvl>
  </w:abstractNum>
  <w:abstractNum w:abstractNumId="59">
    <w:nsid w:val="56438D15"/>
    <w:multiLevelType w:val="hybridMultilevel"/>
    <w:lvl w:ilvl="0">
      <w:lvlJc w:val="left"/>
      <w:lvlText w:val="%1"/>
      <w:numFmt w:val="lowerLetter"/>
      <w:start w:val="1"/>
    </w:lvl>
    <w:lvl w:ilvl="1">
      <w:lvlJc w:val="left"/>
      <w:lvlText w:val="(%2)"/>
      <w:numFmt w:val="lowerRoman"/>
      <w:start w:val="1"/>
    </w:lvl>
  </w:abstractNum>
  <w:abstractNum w:abstractNumId="60">
    <w:nsid w:val="519E3149"/>
    <w:multiLevelType w:val="hybridMultilevel"/>
    <w:lvl w:ilvl="0">
      <w:lvlJc w:val="left"/>
      <w:lvlText w:val="(%1)"/>
      <w:numFmt w:val="lowerLetter"/>
      <w:start w:val="2"/>
    </w:lvl>
    <w:lvl w:ilvl="1">
      <w:lvlJc w:val="left"/>
      <w:lvlText w:val="%2"/>
      <w:numFmt w:val="lowerRoman"/>
      <w:start w:val="1"/>
    </w:lvl>
  </w:abstractNum>
  <w:abstractNum w:abstractNumId="61">
    <w:nsid w:val="2C6E4AFD"/>
    <w:multiLevelType w:val="hybridMultilevel"/>
    <w:lvl w:ilvl="0">
      <w:lvlJc w:val="left"/>
      <w:lvlText w:val="*"/>
      <w:numFmt w:val="bullet"/>
      <w:start w:val="1"/>
    </w:lvl>
  </w:abstractNum>
  <w:abstractNum w:abstractNumId="62">
    <w:nsid w:val="17A1B582"/>
    <w:multiLevelType w:val="hybridMultilevel"/>
    <w:lvl w:ilvl="0">
      <w:lvlJc w:val="left"/>
      <w:lvlText w:val="**"/>
      <w:numFmt w:val="bullet"/>
      <w:start w:val="1"/>
    </w:lvl>
  </w:abstractNum>
  <w:abstractNum w:abstractNumId="63">
    <w:nsid w:val="4DF72E4E"/>
    <w:multiLevelType w:val="hybridMultilevel"/>
    <w:lvl w:ilvl="0">
      <w:lvlJc w:val="left"/>
      <w:lvlText w:val="(%1)"/>
      <w:numFmt w:val="lowerLetter"/>
      <w:start w:val="1"/>
    </w:lvl>
  </w:abstractNum>
  <w:abstractNum w:abstractNumId="64">
    <w:nsid w:val="5046B5A9"/>
    <w:multiLevelType w:val="hybridMultilevel"/>
    <w:lvl w:ilvl="0">
      <w:lvlJc w:val="left"/>
      <w:lvlText w:val="(%1)"/>
      <w:numFmt w:val="lowerRoman"/>
      <w:start w:val="1"/>
    </w:lvl>
  </w:abstractNum>
  <w:abstractNum w:abstractNumId="65">
    <w:nsid w:val="5D888A08"/>
    <w:multiLevelType w:val="hybridMultilevel"/>
    <w:lvl w:ilvl="0">
      <w:lvlJc w:val="left"/>
      <w:lvlText w:val="(%1)"/>
      <w:numFmt w:val="lowerLetter"/>
      <w:start w:val="35"/>
    </w:lvl>
  </w:abstractNum>
  <w:abstractNum w:abstractNumId="66">
    <w:nsid w:val="2A082C70"/>
    <w:multiLevelType w:val="hybridMultilevel"/>
    <w:lvl w:ilvl="0">
      <w:lvlJc w:val="left"/>
      <w:lvlText w:val="(%1)"/>
      <w:numFmt w:val="lowerLetter"/>
      <w:start w:val="25"/>
    </w:lvl>
  </w:abstractNum>
  <w:abstractNum w:abstractNumId="67">
    <w:nsid w:val="5EC6AFD4"/>
    <w:multiLevelType w:val="hybridMultilevel"/>
    <w:lvl w:ilvl="0">
      <w:lvlJc w:val="left"/>
      <w:lvlText w:val="(%1)"/>
      <w:numFmt w:val="lowerLetter"/>
      <w:start w:val="1"/>
    </w:lvl>
  </w:abstractNum>
  <w:abstractNum w:abstractNumId="68">
    <w:nsid w:val="19E21BB2"/>
    <w:multiLevelType w:val="hybridMultilevel"/>
    <w:lvl w:ilvl="0">
      <w:lvlJc w:val="left"/>
      <w:lvlText w:val="(%1)"/>
      <w:numFmt w:val="lowerLetter"/>
      <w:start w:val="1"/>
    </w:lvl>
  </w:abstractNum>
  <w:abstractNum w:abstractNumId="69">
    <w:nsid w:val="75E0858A"/>
    <w:multiLevelType w:val="hybridMultilevel"/>
    <w:lvl w:ilvl="0">
      <w:lvlJc w:val="left"/>
      <w:lvlText w:val="(%1)"/>
      <w:numFmt w:val="lowerLetter"/>
      <w:start w:val="1"/>
    </w:lvl>
  </w:abstractNum>
  <w:abstractNum w:abstractNumId="70">
    <w:nsid w:val="57A61A29"/>
    <w:multiLevelType w:val="hybridMultilevel"/>
    <w:lvl w:ilvl="0">
      <w:lvlJc w:val="left"/>
      <w:lvlText w:val="(%1)"/>
      <w:numFmt w:val="lowerLetter"/>
      <w:start w:val="1"/>
    </w:lvl>
  </w:abstractNum>
  <w:abstractNum w:abstractNumId="71">
    <w:nsid w:val="5399C654"/>
    <w:multiLevelType w:val="hybridMultilevel"/>
    <w:lvl w:ilvl="0">
      <w:lvlJc w:val="left"/>
      <w:lvlText w:val="%1"/>
      <w:numFmt w:val="lowerLetter"/>
      <w:start w:val="1"/>
    </w:lvl>
    <w:lvl w:ilvl="1">
      <w:lvlJc w:val="left"/>
      <w:lvlText w:val="(%2)"/>
      <w:numFmt w:val="lowerLetter"/>
      <w:start w:val="8"/>
    </w:lvl>
  </w:abstractNum>
  <w:abstractNum w:abstractNumId="72">
    <w:nsid w:val="20EE1348"/>
    <w:multiLevelType w:val="hybridMultilevel"/>
    <w:lvl w:ilvl="0">
      <w:lvlJc w:val="left"/>
      <w:lvlText w:val="(%1)"/>
      <w:numFmt w:val="lowerLetter"/>
      <w:start w:val="9"/>
    </w:lvl>
    <w:lvl w:ilvl="1">
      <w:lvlJc w:val="left"/>
      <w:lvlText w:val="(%2)"/>
      <w:numFmt w:val="lowerLetter"/>
      <w:start w:val="14"/>
    </w:lvl>
  </w:abstractNum>
  <w:abstractNum w:abstractNumId="73">
    <w:nsid w:val="4427069A"/>
    <w:multiLevelType w:val="hybridMultilevel"/>
    <w:lvl w:ilvl="0">
      <w:lvlJc w:val="left"/>
      <w:lvlText w:val="(%1)"/>
      <w:numFmt w:val="lowerLetter"/>
      <w:start w:val="22"/>
    </w:lvl>
  </w:abstractNum>
  <w:abstractNum w:abstractNumId="74">
    <w:nsid w:val="B37E80A"/>
    <w:multiLevelType w:val="hybridMultilevel"/>
    <w:lvl w:ilvl="0">
      <w:lvlJc w:val="left"/>
      <w:lvlText w:val="(%1)"/>
      <w:numFmt w:val="lowerLetter"/>
      <w:start w:val="1"/>
    </w:lvl>
  </w:abstractNum>
  <w:abstractNum w:abstractNumId="75">
    <w:nsid w:val="2157F6BC"/>
    <w:multiLevelType w:val="hybridMultilevel"/>
    <w:lvl w:ilvl="0">
      <w:lvlJc w:val="left"/>
      <w:lvlText w:val="(%1)"/>
      <w:numFmt w:val="lowerLetter"/>
      <w:start w:val="3"/>
    </w:lvl>
    <w:lvl w:ilvl="1">
      <w:lvlJc w:val="left"/>
      <w:lvlText w:val="(%2)"/>
      <w:numFmt w:val="lowerRoman"/>
      <w:start w:val="1"/>
    </w:lvl>
  </w:abstractNum>
  <w:abstractNum w:abstractNumId="76">
    <w:nsid w:val="704E1DD5"/>
    <w:multiLevelType w:val="hybridMultilevel"/>
    <w:lvl w:ilvl="0">
      <w:lvlJc w:val="left"/>
      <w:lvlText w:val="(%1)"/>
      <w:numFmt w:val="lowerLetter"/>
      <w:start w:val="4"/>
    </w:lvl>
  </w:abstractNum>
  <w:abstractNum w:abstractNumId="77">
    <w:nsid w:val="57D2F10E"/>
    <w:multiLevelType w:val="hybridMultilevel"/>
    <w:lvl w:ilvl="0">
      <w:lvlJc w:val="left"/>
      <w:lvlText w:val="(%1)"/>
      <w:numFmt w:val="lowerLetter"/>
      <w:start w:val="6"/>
    </w:lvl>
  </w:abstractNum>
  <w:abstractNum w:abstractNumId="78">
    <w:nsid w:val="BFFAE18"/>
    <w:multiLevelType w:val="hybridMultilevel"/>
    <w:lvl w:ilvl="0">
      <w:lvlJc w:val="left"/>
      <w:lvlText w:val="(%1)"/>
      <w:numFmt w:val="lowerLetter"/>
      <w:start w:val="7"/>
    </w:lvl>
  </w:abstractNum>
  <w:abstractNum w:abstractNumId="79">
    <w:nsid w:val="E3E47A8"/>
    <w:multiLevelType w:val="hybridMultilevel"/>
    <w:lvl w:ilvl="0">
      <w:lvlJc w:val="left"/>
      <w:lvlText w:val="(%1)"/>
      <w:numFmt w:val="lowerLetter"/>
      <w:start w:val="1"/>
    </w:lvl>
  </w:abstractNum>
  <w:abstractNum w:abstractNumId="80">
    <w:nsid w:val="2E48F044"/>
    <w:multiLevelType w:val="hybridMultilevel"/>
    <w:lvl w:ilvl="0">
      <w:lvlJc w:val="left"/>
      <w:lvlText w:val="(%1)"/>
      <w:numFmt w:val="lowerLetter"/>
      <w:start w:val="1"/>
    </w:lvl>
  </w:abstractNum>
  <w:abstractNum w:abstractNumId="81">
    <w:nsid w:val="49D0FEAC"/>
    <w:multiLevelType w:val="hybridMultilevel"/>
    <w:lvl w:ilvl="0">
      <w:lvlJc w:val="left"/>
      <w:lvlText w:val="(%1)"/>
      <w:numFmt w:val="lowerLetter"/>
      <w:start w:val="2"/>
    </w:lvl>
  </w:abstractNum>
  <w:abstractNum w:abstractNumId="82">
    <w:nsid w:val="4BEE5A5B"/>
    <w:multiLevelType w:val="hybridMultilevel"/>
    <w:lvl w:ilvl="0">
      <w:lvlJc w:val="left"/>
      <w:lvlText w:val="(%1)"/>
      <w:numFmt w:val="lowerLetter"/>
      <w:start w:val="1"/>
    </w:lvl>
    <w:lvl w:ilvl="1">
      <w:lvlJc w:val="left"/>
      <w:lvlText w:val="(%2)"/>
      <w:numFmt w:val="lowerRoman"/>
      <w:start w:val="1"/>
    </w:lvl>
  </w:abstractNum>
  <w:abstractNum w:abstractNumId="83">
    <w:nsid w:val="5551B9F3"/>
    <w:multiLevelType w:val="hybridMultilevel"/>
    <w:lvl w:ilvl="0">
      <w:lvlJc w:val="left"/>
      <w:lvlText w:val="(%1)"/>
      <w:numFmt w:val="lowerLetter"/>
      <w:start w:val="3"/>
    </w:lvl>
    <w:lvl w:ilvl="1">
      <w:lvlJc w:val="left"/>
      <w:lvlText w:val="(%2)"/>
      <w:numFmt w:val="lowerLetter"/>
      <w:start w:val="9"/>
    </w:lvl>
  </w:abstractNum>
  <w:abstractNum w:abstractNumId="84">
    <w:nsid w:val="24F6AB8E"/>
    <w:multiLevelType w:val="hybridMultilevel"/>
    <w:lvl w:ilvl="0">
      <w:lvlJc w:val="left"/>
      <w:lvlText w:val="(%1)"/>
      <w:numFmt w:val="lowerRoman"/>
      <w:start w:val="2"/>
    </w:lvl>
    <w:lvl w:ilvl="1">
      <w:lvlJc w:val="left"/>
      <w:lvlText w:val="(%2)"/>
      <w:numFmt w:val="upperLetter"/>
      <w:start w:val="1"/>
    </w:lvl>
  </w:abstractNum>
  <w:abstractNum w:abstractNumId="85">
    <w:nsid w:val="634C574C"/>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6">
    <w:nsid w:val="24E99DD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7">
    <w:nsid w:val="2A31B62D"/>
    <w:multiLevelType w:val="hybridMultilevel"/>
    <w:lvl w:ilvl="0">
      <w:lvlJc w:val="left"/>
      <w:lvlText w:val="(%1)"/>
      <w:numFmt w:val="lowerLetter"/>
      <w:start w:val="6"/>
    </w:lvl>
  </w:abstractNum>
  <w:abstractNum w:abstractNumId="88">
    <w:nsid w:val="1849C29B"/>
    <w:multiLevelType w:val="hybridMultilevel"/>
    <w:lvl w:ilvl="0">
      <w:lvlJc w:val="left"/>
      <w:lvlText w:val="(%1)"/>
      <w:numFmt w:val="lowerLetter"/>
      <w:start w:val="12"/>
    </w:lvl>
  </w:abstractNum>
  <w:abstractNum w:abstractNumId="89">
    <w:nsid w:val="7DFF9D09"/>
    <w:multiLevelType w:val="hybridMultilevel"/>
    <w:lvl w:ilvl="0">
      <w:lvlJc w:val="left"/>
      <w:lvlText w:val="(%1)"/>
      <w:numFmt w:val="lowerLetter"/>
      <w:start w:val="1"/>
    </w:lvl>
  </w:abstractNum>
  <w:abstractNum w:abstractNumId="90">
    <w:nsid w:val="754342"/>
    <w:multiLevelType w:val="hybridMultilevel"/>
    <w:lvl w:ilvl="0">
      <w:lvlJc w:val="left"/>
      <w:lvlText w:val="(%1)"/>
      <w:numFmt w:val="lowerLetter"/>
      <w:start w:val="5"/>
    </w:lvl>
  </w:abstractNum>
  <w:abstractNum w:abstractNumId="91">
    <w:nsid w:val="69E7F3E5"/>
    <w:multiLevelType w:val="hybridMultilevel"/>
    <w:lvl w:ilvl="0">
      <w:lvlJc w:val="left"/>
      <w:lvlText w:val="(%1)"/>
      <w:numFmt w:val="lowerLetter"/>
      <w:start w:val="1"/>
    </w:lvl>
    <w:lvl w:ilvl="1">
      <w:lvlJc w:val="left"/>
      <w:lvlText w:val="(%2)"/>
      <w:numFmt w:val="lowerLetter"/>
      <w:start w:val="9"/>
    </w:lvl>
  </w:abstractNum>
  <w:abstractNum w:abstractNumId="92">
    <w:nsid w:val="2A6DE806"/>
    <w:multiLevelType w:val="hybridMultilevel"/>
    <w:lvl w:ilvl="0">
      <w:lvlJc w:val="left"/>
      <w:lvlText w:val="%1"/>
      <w:numFmt w:val="lowerLetter"/>
      <w:start w:val="1"/>
    </w:lvl>
    <w:lvl w:ilvl="1">
      <w:lvlJc w:val="left"/>
      <w:lvlText w:val="(%2)"/>
      <w:numFmt w:val="lowerLetter"/>
      <w:start w:val="35"/>
    </w:lvl>
  </w:abstractNum>
  <w:abstractNum w:abstractNumId="93">
    <w:nsid w:val="1816F8C4"/>
    <w:multiLevelType w:val="hybridMultilevel"/>
    <w:lvl w:ilvl="0">
      <w:lvlJc w:val="left"/>
      <w:lvlText w:val="(%1)"/>
      <w:numFmt w:val="lowerLetter"/>
      <w:start w:val="3"/>
    </w:lvl>
    <w:lvl w:ilvl="1">
      <w:lvlJc w:val="left"/>
      <w:lvlText w:val="%2"/>
      <w:numFmt w:val="lowerLetter"/>
      <w:start w:val="1"/>
    </w:lvl>
  </w:abstractNum>
  <w:abstractNum w:abstractNumId="94">
    <w:nsid w:val="37DF2233"/>
    <w:multiLevelType w:val="hybridMultilevel"/>
    <w:lvl w:ilvl="0">
      <w:lvlJc w:val="left"/>
      <w:lvlText w:val="(%1)"/>
      <w:numFmt w:val="lowerLetter"/>
      <w:start w:val="1"/>
    </w:lvl>
  </w:abstractNum>
  <w:abstractNum w:abstractNumId="95">
    <w:nsid w:val="7AB49DAF"/>
    <w:multiLevelType w:val="hybridMultilevel"/>
    <w:lvl w:ilvl="0">
      <w:lvlJc w:val="left"/>
      <w:lvlText w:val="(%1)"/>
      <w:numFmt w:val="lowerLetter"/>
      <w:start w:val="1"/>
    </w:lvl>
  </w:abstractNum>
  <w:abstractNum w:abstractNumId="96">
    <w:nsid w:val="759F82CD"/>
    <w:multiLevelType w:val="hybridMultilevel"/>
    <w:lvl w:ilvl="0">
      <w:lvlJc w:val="left"/>
      <w:lvlText w:val="(%1)"/>
      <w:numFmt w:val="lowerLetter"/>
      <w:start w:val="2"/>
    </w:lvl>
    <w:lvl w:ilvl="1">
      <w:lvlJc w:val="left"/>
      <w:lvlText w:val="(%2)"/>
      <w:numFmt w:val="lowerRoman"/>
      <w:start w:val="1"/>
    </w:lvl>
  </w:abstractNum>
  <w:abstractNum w:abstractNumId="97">
    <w:nsid w:val="61E74EA3"/>
    <w:multiLevelType w:val="hybridMultilevel"/>
    <w:lvl w:ilvl="0">
      <w:lvlJc w:val="left"/>
      <w:lvlText w:val="(%1)"/>
      <w:numFmt w:val="lowerLetter"/>
      <w:start w:val="1"/>
    </w:lvl>
  </w:abstractNum>
  <w:abstractNum w:abstractNumId="98">
    <w:nsid w:val="597B4D84"/>
    <w:multiLevelType w:val="hybridMultilevel"/>
    <w:lvl w:ilvl="0">
      <w:lvlJc w:val="left"/>
      <w:lvlText w:val="(%1)"/>
      <w:numFmt w:val="lowerLetter"/>
      <w:start w:val="2"/>
    </w:lvl>
  </w:abstractNum>
  <w:abstractNum w:abstractNumId="99">
    <w:nsid w:val="F819E7F"/>
    <w:multiLevelType w:val="hybridMultilevel"/>
    <w:lvl w:ilvl="0">
      <w:lvlJc w:val="left"/>
      <w:lvlText w:val="(%1)"/>
      <w:numFmt w:val="lowerLetter"/>
      <w:start w:val="1"/>
    </w:lvl>
  </w:abstractNum>
  <w:abstractNum w:abstractNumId="100">
    <w:nsid w:val="57C7D42D"/>
    <w:multiLevelType w:val="hybridMultilevel"/>
    <w:lvl w:ilvl="0">
      <w:lvlJc w:val="left"/>
      <w:lvlText w:val="(%1)"/>
      <w:numFmt w:val="lowerLetter"/>
      <w:start w:val="1"/>
    </w:lvl>
  </w:abstractNum>
  <w:abstractNum w:abstractNumId="101">
    <w:nsid w:val="312167AD"/>
    <w:multiLevelType w:val="hybridMultilevel"/>
    <w:lvl w:ilvl="0">
      <w:lvlJc w:val="left"/>
      <w:lvlText w:val="(%1)"/>
      <w:numFmt w:val="lowerLetter"/>
      <w:start w:val="2"/>
    </w:lvl>
  </w:abstractNum>
  <w:abstractNum w:abstractNumId="102">
    <w:nsid w:val="631B64D4"/>
    <w:multiLevelType w:val="hybridMultilevel"/>
    <w:lvl w:ilvl="0">
      <w:lvlJc w:val="left"/>
      <w:lvlText w:val="(%1)"/>
      <w:numFmt w:val="lowerLetter"/>
      <w:start w:val="1"/>
    </w:lvl>
  </w:abstractNum>
  <w:abstractNum w:abstractNumId="103">
    <w:nsid w:val="78B5E776"/>
    <w:multiLevelType w:val="hybridMultilevel"/>
    <w:lvl w:ilvl="0">
      <w:lvlJc w:val="left"/>
      <w:lvlText w:val="(%1)"/>
      <w:numFmt w:val="lowerLetter"/>
      <w:start w:val="2"/>
    </w:lvl>
  </w:abstractNum>
  <w:abstractNum w:abstractNumId="104">
    <w:nsid w:val="75486E47"/>
    <w:multiLevelType w:val="hybridMultilevel"/>
    <w:lvl w:ilvl="0">
      <w:lvlJc w:val="left"/>
      <w:lvlText w:val="(%1)"/>
      <w:numFmt w:val="lowerLetter"/>
      <w:start w:val="1"/>
    </w:lvl>
  </w:abstractNum>
  <w:abstractNum w:abstractNumId="105">
    <w:nsid w:val="6E534CDE"/>
    <w:multiLevelType w:val="hybridMultilevel"/>
    <w:lvl w:ilvl="0">
      <w:lvlJc w:val="left"/>
      <w:lvlText w:val="(%1)"/>
      <w:numFmt w:val="lowerLetter"/>
      <w:start w:val="2"/>
    </w:lvl>
  </w:abstractNum>
  <w:abstractNum w:abstractNumId="106">
    <w:nsid w:val="1A0DDE32"/>
    <w:multiLevelType w:val="hybridMultilevel"/>
    <w:lvl w:ilvl="0">
      <w:lvlJc w:val="left"/>
      <w:lvlText w:val="%1"/>
      <w:numFmt w:val="lowerLetter"/>
      <w:start w:val="1"/>
    </w:lvl>
    <w:lvl w:ilvl="1">
      <w:lvlJc w:val="left"/>
      <w:lvlText w:val="(%2)"/>
      <w:numFmt w:val="lowerRoman"/>
      <w:start w:val="1"/>
    </w:lvl>
  </w:abstractNum>
  <w:abstractNum w:abstractNumId="107">
    <w:nsid w:val="65968C1C"/>
    <w:multiLevelType w:val="hybridMultilevel"/>
    <w:lvl w:ilvl="0">
      <w:lvlJc w:val="left"/>
      <w:lvlText w:val="(%1)"/>
      <w:numFmt w:val="lowerLetter"/>
      <w:start w:val="4"/>
    </w:lvl>
    <w:lvl w:ilvl="1">
      <w:lvlJc w:val="left"/>
      <w:lvlText w:val="%2"/>
      <w:numFmt w:val="lowerRoman"/>
      <w:start w:val="1"/>
    </w:lvl>
  </w:abstractNum>
  <w:abstractNum w:abstractNumId="108">
    <w:nsid w:val="46263DEC"/>
    <w:multiLevelType w:val="hybridMultilevel"/>
    <w:lvl w:ilvl="0">
      <w:lvlJc w:val="left"/>
      <w:lvlText w:val="(%1)"/>
      <w:numFmt w:val="lowerLetter"/>
      <w:start w:val="1"/>
    </w:lvl>
    <w:lvl w:ilvl="1">
      <w:lvlJc w:val="left"/>
      <w:lvlText w:val="(%2)"/>
      <w:numFmt w:val="lowerLetter"/>
      <w:start w:val="9"/>
    </w:lvl>
  </w:abstractNum>
  <w:abstractNum w:abstractNumId="109">
    <w:nsid w:val="260D8C4A"/>
    <w:multiLevelType w:val="hybridMultilevel"/>
    <w:lvl w:ilvl="0">
      <w:lvlJc w:val="left"/>
      <w:lvlText w:val="%1"/>
      <w:numFmt w:val="lowerLetter"/>
      <w:start w:val="1"/>
    </w:lvl>
    <w:lvl w:ilvl="1">
      <w:lvlJc w:val="left"/>
      <w:lvlText w:val="(%2)"/>
      <w:numFmt w:val="lowerRoman"/>
      <w:start w:val="2"/>
    </w:lvl>
  </w:abstractNum>
  <w:abstractNum w:abstractNumId="110">
    <w:nsid w:val="73D4D3C4"/>
    <w:multiLevelType w:val="hybridMultilevel"/>
    <w:lvl w:ilvl="0">
      <w:lvlJc w:val="left"/>
      <w:lvlText w:val="(%1)"/>
      <w:numFmt w:val="lowerLetter"/>
      <w:start w:val="2"/>
    </w:lvl>
    <w:lvl w:ilvl="1">
      <w:lvlJc w:val="left"/>
      <w:lvlText w:val="%2"/>
      <w:numFmt w:val="lowerRoman"/>
      <w:start w:val="1"/>
    </w:lvl>
  </w:abstractNum>
  <w:abstractNum w:abstractNumId="111">
    <w:nsid w:val="746F2E3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2">
    <w:nsid w:val="6FDE8AF6"/>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113">
    <w:nsid w:val="3FC32E20"/>
    <w:multiLevelType w:val="hybridMultilevel"/>
    <w:lvl w:ilvl="0">
      <w:lvlJc w:val="left"/>
      <w:lvlText w:val="%1"/>
      <w:numFmt w:val="lowerLetter"/>
      <w:start w:val="1"/>
    </w:lvl>
    <w:lvl w:ilvl="1">
      <w:lvlJc w:val="left"/>
      <w:lvlText w:val="(%2)"/>
      <w:numFmt w:val="lowerRoman"/>
      <w:start w:val="6"/>
    </w:lvl>
  </w:abstractNum>
  <w:abstractNum w:abstractNumId="114">
    <w:nsid w:val="49C0E823"/>
    <w:multiLevelType w:val="hybridMultilevel"/>
    <w:lvl w:ilvl="0">
      <w:lvlJc w:val="left"/>
      <w:lvlText w:val="(%1)"/>
      <w:numFmt w:val="lowerLetter"/>
      <w:start w:val="2"/>
    </w:lvl>
    <w:lvl w:ilvl="1">
      <w:lvlJc w:val="left"/>
      <w:lvlText w:val="%2"/>
      <w:numFmt w:val="lowerRoman"/>
      <w:start w:val="1"/>
    </w:lvl>
  </w:abstractNum>
  <w:abstractNum w:abstractNumId="115">
    <w:nsid w:val="14D53685"/>
    <w:multiLevelType w:val="hybridMultilevel"/>
    <w:lvl w:ilvl="0">
      <w:lvlJc w:val="left"/>
      <w:lvlText w:val="(%1)"/>
      <w:numFmt w:val="lowerLetter"/>
      <w:start w:val="3"/>
    </w:lvl>
  </w:abstractNum>
  <w:abstractNum w:abstractNumId="116">
    <w:nsid w:val="230F856C"/>
    <w:multiLevelType w:val="hybridMultilevel"/>
    <w:lvl w:ilvl="0">
      <w:lvlJc w:val="left"/>
      <w:lvlText w:val="(%1)"/>
      <w:numFmt w:val="lowerLetter"/>
      <w:start w:val="1"/>
    </w:lvl>
  </w:abstractNum>
  <w:abstractNum w:abstractNumId="117">
    <w:nsid w:val="6EAA85FB"/>
    <w:multiLevelType w:val="hybridMultilevel"/>
    <w:lvl w:ilvl="0">
      <w:lvlJc w:val="left"/>
      <w:lvlText w:val="(%1)"/>
      <w:numFmt w:val="lowerLetter"/>
      <w:start w:val="6"/>
    </w:lvl>
  </w:abstractNum>
  <w:abstractNum w:abstractNumId="118">
    <w:nsid w:val="3F06ECB2"/>
    <w:multiLevelType w:val="hybridMultilevel"/>
    <w:lvl w:ilvl="0">
      <w:lvlJc w:val="left"/>
      <w:lvlText w:val="(%1)"/>
      <w:numFmt w:val="lowerLetter"/>
      <w:start w:val="9"/>
    </w:lvl>
  </w:abstractNum>
  <w:abstractNum w:abstractNumId="119">
    <w:nsid w:val="3B594807"/>
    <w:multiLevelType w:val="hybridMultilevel"/>
    <w:lvl w:ilvl="0">
      <w:lvlJc w:val="left"/>
      <w:lvlText w:val="(%1)"/>
      <w:numFmt w:val="lowerLetter"/>
      <w:start w:val="1"/>
    </w:lvl>
  </w:abstractNum>
  <w:abstractNum w:abstractNumId="120">
    <w:nsid w:val="6CAA2304"/>
    <w:multiLevelType w:val="hybridMultilevel"/>
    <w:lvl w:ilvl="0">
      <w:lvlJc w:val="left"/>
      <w:lvlText w:val="%1"/>
      <w:numFmt w:val="lowerLetter"/>
      <w:start w:val="1"/>
    </w:lvl>
    <w:lvl w:ilvl="1">
      <w:lvlJc w:val="left"/>
      <w:lvlText w:val="(%2)"/>
      <w:numFmt w:val="lowerRoman"/>
      <w:start w:val="1"/>
    </w:lvl>
  </w:abstractNum>
  <w:abstractNum w:abstractNumId="121">
    <w:nsid w:val="3F7C2FF4"/>
    <w:multiLevelType w:val="hybridMultilevel"/>
    <w:lvl w:ilvl="0">
      <w:lvlJc w:val="left"/>
      <w:lvlText w:val="(%1)"/>
      <w:numFmt w:val="lowerLetter"/>
      <w:start w:val="3"/>
    </w:lvl>
    <w:lvl w:ilvl="1">
      <w:lvlJc w:val="left"/>
      <w:lvlText w:val="(%2)"/>
      <w:numFmt w:val="lowerRoman"/>
      <w:start w:val="1"/>
    </w:lvl>
  </w:abstractNum>
  <w:abstractNum w:abstractNumId="122">
    <w:nsid w:val="25413BEC"/>
    <w:multiLevelType w:val="hybridMultilevel"/>
    <w:lvl w:ilvl="0">
      <w:lvlJc w:val="left"/>
      <w:lvlText w:val="(%1)"/>
      <w:numFmt w:val="lowerLetter"/>
      <w:start w:val="1"/>
    </w:lvl>
  </w:abstractNum>
  <w:abstractNum w:abstractNumId="123">
    <w:nsid w:val="17180B0B"/>
    <w:multiLevelType w:val="hybridMultilevel"/>
    <w:lvl w:ilvl="0">
      <w:lvlJc w:val="left"/>
      <w:lvlText w:val="(%1)"/>
      <w:numFmt w:val="lowerLetter"/>
      <w:start w:val="3"/>
    </w:lvl>
  </w:abstractNum>
  <w:abstractNum w:abstractNumId="124">
    <w:nsid w:val="579328B9"/>
    <w:multiLevelType w:val="hybridMultilevel"/>
    <w:lvl w:ilvl="0">
      <w:lvlJc w:val="left"/>
      <w:lvlText w:val="(%1)"/>
      <w:numFmt w:val="lowerLetter"/>
      <w:start w:val="1"/>
    </w:lvl>
  </w:abstractNum>
  <w:abstractNum w:abstractNumId="125">
    <w:nsid w:val="5D205E20"/>
    <w:multiLevelType w:val="hybridMultilevel"/>
    <w:lvl w:ilvl="0">
      <w:lvlJc w:val="left"/>
      <w:lvlText w:val="(%1)"/>
      <w:numFmt w:val="lowerLetter"/>
      <w:start w:val="1"/>
    </w:lvl>
  </w:abstractNum>
  <w:abstractNum w:abstractNumId="126">
    <w:nsid w:val="11CCA8BA"/>
    <w:multiLevelType w:val="hybridMultilevel"/>
    <w:lvl w:ilvl="0">
      <w:lvlJc w:val="left"/>
      <w:lvlText w:val="(%1)"/>
      <w:numFmt w:val="lowerLetter"/>
      <w:start w:val="1"/>
    </w:lvl>
  </w:abstractNum>
  <w:abstractNum w:abstractNumId="127">
    <w:nsid w:val="4D32AB86"/>
    <w:multiLevelType w:val="hybridMultilevel"/>
    <w:lvl w:ilvl="0">
      <w:lvlJc w:val="left"/>
      <w:lvlText w:val="(%1)"/>
      <w:numFmt w:val="lowerLetter"/>
      <w:start w:val="1"/>
    </w:lvl>
  </w:abstractNum>
  <w:abstractNum w:abstractNumId="128">
    <w:nsid w:val="3F07ACC3"/>
    <w:multiLevelType w:val="hybridMultilevel"/>
    <w:lvl w:ilvl="0">
      <w:lvlJc w:val="left"/>
      <w:lvlText w:val="(%1)"/>
      <w:numFmt w:val="lowerLetter"/>
      <w:start w:val="1"/>
    </w:lvl>
  </w:abstractNum>
  <w:abstractNum w:abstractNumId="129">
    <w:nsid w:val="6B47F63E"/>
    <w:multiLevelType w:val="hybridMultilevel"/>
    <w:lvl w:ilvl="0">
      <w:lvlJc w:val="left"/>
      <w:lvlText w:val="(%1)"/>
      <w:numFmt w:val="lowerLetter"/>
      <w:start w:val="1"/>
    </w:lvl>
  </w:abstractNum>
  <w:abstractNum w:abstractNumId="130">
    <w:nsid w:val="5CB44A05"/>
    <w:multiLevelType w:val="hybridMultilevel"/>
    <w:lvl w:ilvl="0">
      <w:lvlJc w:val="left"/>
      <w:lvlText w:val="(%1)"/>
      <w:numFmt w:val="lowerLetter"/>
      <w:start w:val="2"/>
    </w:lvl>
  </w:abstractNum>
  <w:abstractNum w:abstractNumId="131">
    <w:nsid w:val="16CF80F1"/>
    <w:multiLevelType w:val="hybridMultilevel"/>
    <w:lvl w:ilvl="0">
      <w:lvlJc w:val="left"/>
      <w:lvlText w:val="(%1)"/>
      <w:numFmt w:val="lowerLetter"/>
      <w:start w:val="5"/>
    </w:lvl>
  </w:abstractNum>
  <w:abstractNum w:abstractNumId="132">
    <w:nsid w:val="1C695DEC"/>
    <w:multiLevelType w:val="hybridMultilevel"/>
    <w:lvl w:ilvl="0">
      <w:lvlJc w:val="left"/>
      <w:lvlText w:val="(%1)"/>
      <w:numFmt w:val="lowerLetter"/>
      <w:start w:val="12"/>
    </w:lvl>
  </w:abstractNum>
  <w:abstractNum w:abstractNumId="133">
    <w:nsid w:val="3FCFAED9"/>
    <w:multiLevelType w:val="hybridMultilevel"/>
    <w:lvl w:ilvl="0">
      <w:lvlJc w:val="left"/>
      <w:lvlText w:val="(%1)"/>
      <w:numFmt w:val="lowerLetter"/>
      <w:start w:val="1"/>
    </w:lvl>
    <w:lvl w:ilvl="1">
      <w:lvlJc w:val="left"/>
      <w:lvlText w:val="(%2)"/>
      <w:numFmt w:val="lowerRoman"/>
      <w:start w:val="1"/>
    </w:lvl>
  </w:abstractNum>
  <w:abstractNum w:abstractNumId="134">
    <w:nsid w:val="F856867"/>
    <w:multiLevelType w:val="hybridMultilevel"/>
    <w:lvl w:ilvl="0">
      <w:lvlJc w:val="left"/>
      <w:lvlText w:val="%1"/>
      <w:numFmt w:val="lowerLetter"/>
      <w:start w:val="1"/>
    </w:lvl>
    <w:lvl w:ilvl="1">
      <w:lvlJc w:val="left"/>
      <w:lvlText w:val="(%2)"/>
      <w:numFmt w:val="lowerRoman"/>
      <w:start w:val="3"/>
    </w:lvl>
  </w:abstractNum>
  <w:abstractNum w:abstractNumId="135">
    <w:nsid w:val="11B1CC33"/>
    <w:multiLevelType w:val="hybridMultilevel"/>
    <w:lvl w:ilvl="0">
      <w:lvlJc w:val="left"/>
      <w:lvlText w:val="(%1)"/>
      <w:numFmt w:val="lowerLetter"/>
      <w:start w:val="4"/>
    </w:lvl>
    <w:lvl w:ilvl="1">
      <w:lvlJc w:val="left"/>
      <w:lvlText w:val="%2"/>
      <w:numFmt w:val="lowerRoman"/>
      <w:start w:val="1"/>
    </w:lvl>
  </w:abstractNum>
  <w:abstractNum w:abstractNumId="136">
    <w:nsid w:val="2E22FBB7"/>
    <w:multiLevelType w:val="hybridMultilevel"/>
    <w:lvl w:ilvl="0">
      <w:lvlJc w:val="left"/>
      <w:lvlText w:val="(%1)"/>
      <w:numFmt w:val="lowerLetter"/>
      <w:start w:val="1"/>
    </w:lvl>
  </w:abstractNum>
  <w:abstractNum w:abstractNumId="137">
    <w:nsid w:val="29934699"/>
    <w:multiLevelType w:val="hybridMultilevel"/>
    <w:lvl w:ilvl="0">
      <w:lvlJc w:val="left"/>
      <w:lvlText w:val="(%1)"/>
      <w:numFmt w:val="lowerLetter"/>
      <w:start w:val="2"/>
    </w:lvl>
  </w:abstractNum>
  <w:abstractNum w:abstractNumId="138">
    <w:nsid w:val="77485850"/>
    <w:multiLevelType w:val="hybridMultilevel"/>
    <w:lvl w:ilvl="0">
      <w:lvlJc w:val="left"/>
      <w:lvlText w:val="(%1)"/>
      <w:numFmt w:val="decimal"/>
      <w:start w:val="1"/>
    </w:lvl>
  </w:abstractNum>
  <w:abstractNum w:abstractNumId="139">
    <w:nsid w:val="744939A3"/>
    <w:multiLevelType w:val="hybridMultilevel"/>
    <w:lvl w:ilvl="0">
      <w:lvlJc w:val="left"/>
      <w:lvlText w:val="(%1)"/>
      <w:numFmt w:val="lowerLetter"/>
      <w:start w:val="1"/>
    </w:lvl>
  </w:abstractNum>
  <w:abstractNum w:abstractNumId="140">
    <w:nsid w:val="4FA0D2E3"/>
    <w:multiLevelType w:val="hybridMultilevel"/>
    <w:lvl w:ilvl="0">
      <w:lvlJc w:val="left"/>
      <w:lvlText w:val="(%1)"/>
      <w:numFmt w:val="lowerLetter"/>
      <w:start w:val="3"/>
    </w:lvl>
  </w:abstractNum>
  <w:abstractNum w:abstractNumId="141">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43">
    <w:nsid w:val="3F7F5DD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44">
    <w:nsid w:val="2AE05A3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5">
    <w:nsid w:val="32794FF7"/>
    <w:multiLevelType w:val="hybridMultilevel"/>
    <w:lvl w:ilvl="0">
      <w:lvlJc w:val="left"/>
      <w:lvlText w:val="(%1)"/>
      <w:numFmt w:val="lowerLetter"/>
      <w:start w:val="1"/>
    </w:lvl>
  </w:abstractNum>
  <w:abstractNum w:abstractNumId="146">
    <w:nsid w:val="5454945E"/>
    <w:multiLevelType w:val="hybridMultilevel"/>
    <w:lvl w:ilvl="0">
      <w:lvlJc w:val="left"/>
      <w:lvlText w:val="(%1)"/>
      <w:numFmt w:val="lowerLetter"/>
      <w:start w:val="2"/>
    </w:lvl>
    <w:lvl w:ilvl="1">
      <w:lvlJc w:val="left"/>
      <w:lvlText w:val="(%2)"/>
      <w:numFmt w:val="lowerRoman"/>
      <w:start w:val="1"/>
    </w:lvl>
  </w:abstractNum>
  <w:abstractNum w:abstractNumId="147">
    <w:nsid w:val="4DEFDFA0"/>
    <w:multiLevelType w:val="hybridMultilevel"/>
    <w:lvl w:ilvl="0">
      <w:lvlJc w:val="left"/>
      <w:lvlText w:val="(%1)"/>
      <w:numFmt w:val="lowerLetter"/>
      <w:start w:val="3"/>
    </w:lvl>
    <w:lvl w:ilvl="1">
      <w:lvlJc w:val="left"/>
      <w:lvlText w:val="(%2)"/>
      <w:numFmt w:val="lowerRoman"/>
      <w:start w:val="1"/>
    </w:lvl>
  </w:abstractNum>
  <w:abstractNum w:abstractNumId="148">
    <w:nsid w:val="2123D5F2"/>
    <w:multiLevelType w:val="hybridMultilevel"/>
    <w:lvl w:ilvl="0">
      <w:lvlJc w:val="left"/>
      <w:lvlText w:val="(%1)"/>
      <w:numFmt w:val="lowerRoman"/>
      <w:start w:val="4"/>
    </w:lvl>
  </w:abstractNum>
  <w:abstractNum w:abstractNumId="149">
    <w:nsid w:val="135B8110"/>
    <w:multiLevelType w:val="hybridMultilevel"/>
    <w:lvl w:ilvl="0">
      <w:lvlJc w:val="left"/>
      <w:lvlText w:val="(%1)"/>
      <w:numFmt w:val="lowerLetter"/>
      <w:start w:val="1"/>
    </w:lvl>
  </w:abstractNum>
  <w:abstractNum w:abstractNumId="150">
    <w:nsid w:val="94927A8"/>
    <w:multiLevelType w:val="hybridMultilevel"/>
    <w:lvl w:ilvl="0">
      <w:lvlJc w:val="left"/>
      <w:lvlText w:val="(%1)"/>
      <w:numFmt w:val="lowerLetter"/>
      <w:start w:val="1"/>
    </w:lvl>
  </w:abstractNum>
  <w:abstractNum w:abstractNumId="151">
    <w:nsid w:val="DCDF8F6"/>
    <w:multiLevelType w:val="hybridMultilevel"/>
    <w:lvl w:ilvl="0">
      <w:lvlJc w:val="left"/>
      <w:lvlText w:val="(%1)"/>
      <w:numFmt w:val="lowerLetter"/>
      <w:start w:val="9"/>
    </w:lvl>
  </w:abstractNum>
  <w:abstractNum w:abstractNumId="152">
    <w:nsid w:val="52D7B105"/>
    <w:multiLevelType w:val="hybridMultilevel"/>
    <w:lvl w:ilvl="0">
      <w:lvlJc w:val="left"/>
      <w:lvlText w:val="(%1)"/>
      <w:numFmt w:val="lowerLetter"/>
      <w:start w:val="1"/>
    </w:lvl>
  </w:abstractNum>
  <w:abstractNum w:abstractNumId="153">
    <w:nsid w:val="2E8A6394"/>
    <w:multiLevelType w:val="hybridMultilevel"/>
    <w:lvl w:ilvl="0">
      <w:lvlJc w:val="left"/>
      <w:lvlText w:val="%1"/>
      <w:numFmt w:val="lowerLetter"/>
      <w:start w:val="1"/>
    </w:lvl>
    <w:lvl w:ilvl="1">
      <w:lvlJc w:val="left"/>
      <w:lvlText w:val="(%2)"/>
      <w:numFmt w:val="lowerRoman"/>
      <w:start w:val="1"/>
    </w:lvl>
  </w:abstractNum>
  <w:abstractNum w:abstractNumId="154">
    <w:nsid w:val="24E60401"/>
    <w:multiLevelType w:val="hybridMultilevel"/>
    <w:lvl w:ilvl="0">
      <w:lvlJc w:val="left"/>
      <w:lvlText w:val="(%1)"/>
      <w:numFmt w:val="lowerLetter"/>
      <w:start w:val="2"/>
    </w:lvl>
    <w:lvl w:ilvl="1">
      <w:lvlJc w:val="left"/>
      <w:lvlText w:val="%2"/>
      <w:numFmt w:val="lowerRoman"/>
      <w:start w:val="1"/>
    </w:lvl>
  </w:abstractNum>
  <w:abstractNum w:abstractNumId="155">
    <w:nsid w:val="2A6AD9BE"/>
    <w:multiLevelType w:val="hybridMultilevel"/>
    <w:lvl w:ilvl="0">
      <w:lvlJc w:val="left"/>
      <w:lvlText w:val="(%1)"/>
      <w:numFmt w:val="lowerLetter"/>
      <w:start w:val="3"/>
    </w:lvl>
  </w:abstractNum>
  <w:abstractNum w:abstractNumId="156">
    <w:nsid w:val="BAAC1B4"/>
    <w:multiLevelType w:val="hybridMultilevel"/>
    <w:lvl w:ilvl="0">
      <w:lvlJc w:val="left"/>
      <w:lvlText w:val="(%1)"/>
      <w:numFmt w:val="lowerLetter"/>
      <w:start w:val="1"/>
    </w:lvl>
  </w:abstractNum>
  <w:abstractNum w:abstractNumId="157">
    <w:nsid w:val="36B2ACBC"/>
    <w:multiLevelType w:val="hybridMultilevel"/>
    <w:lvl w:ilvl="0">
      <w:lvlJc w:val="left"/>
      <w:lvlText w:val="(%1)"/>
      <w:numFmt w:val="lowerLetter"/>
      <w:start w:val="3"/>
    </w:lvl>
  </w:abstractNum>
  <w:abstractNum w:abstractNumId="158">
    <w:nsid w:val="779D8544"/>
    <w:multiLevelType w:val="hybridMultilevel"/>
    <w:lvl w:ilvl="0">
      <w:lvlJc w:val="left"/>
      <w:lvlText w:val="(%1)"/>
      <w:numFmt w:val="lowerLetter"/>
      <w:start w:val="1"/>
    </w:lvl>
  </w:abstractNum>
  <w:abstractNum w:abstractNumId="159">
    <w:nsid w:val="4AB26E78"/>
    <w:multiLevelType w:val="hybridMultilevel"/>
    <w:lvl w:ilvl="0">
      <w:lvlJc w:val="left"/>
      <w:lvlText w:val="(%1)"/>
      <w:numFmt w:val="lowerRoman"/>
      <w:start w:val="2"/>
    </w:lvl>
  </w:abstractNum>
  <w:abstractNum w:abstractNumId="160">
    <w:nsid w:val="21FAA2FA"/>
    <w:multiLevelType w:val="hybridMultilevel"/>
    <w:lvl w:ilvl="0">
      <w:lvlJc w:val="left"/>
      <w:lvlText w:val="(%1)"/>
      <w:numFmt w:val="lowerLetter"/>
      <w:start w:val="1"/>
    </w:lvl>
  </w:abstractNum>
  <w:abstractNum w:abstractNumId="161">
    <w:nsid w:val="5451CF49"/>
    <w:multiLevelType w:val="hybridMultilevel"/>
    <w:lvl w:ilvl="0">
      <w:lvlJc w:val="left"/>
      <w:lvlText w:val="(%1)"/>
      <w:numFmt w:val="lowerLetter"/>
      <w:start w:val="6"/>
    </w:lvl>
  </w:abstractNum>
  <w:abstractNum w:abstractNumId="162">
    <w:nsid w:val="6181EF69"/>
    <w:multiLevelType w:val="hybridMultilevel"/>
    <w:lvl w:ilvl="0">
      <w:lvlJc w:val="left"/>
      <w:lvlText w:val="(%1)"/>
      <w:numFmt w:val="lowerLetter"/>
      <w:start w:val="1"/>
    </w:lvl>
  </w:abstractNum>
  <w:abstractNum w:abstractNumId="163">
    <w:nsid w:val="3E6400E6"/>
    <w:multiLevelType w:val="hybridMultilevel"/>
    <w:lvl w:ilvl="0">
      <w:lvlJc w:val="left"/>
      <w:lvlText w:val="(%1)"/>
      <w:numFmt w:val="lowerLetter"/>
      <w:start w:val="1"/>
    </w:lvl>
  </w:abstractNum>
  <w:abstractNum w:abstractNumId="164">
    <w:nsid w:val="14217E23"/>
    <w:multiLevelType w:val="hybridMultilevel"/>
    <w:lvl w:ilvl="0">
      <w:lvlJc w:val="left"/>
      <w:lvlText w:val="%1."/>
      <w:numFmt w:val="decimal"/>
      <w:start w:val="1"/>
    </w:lvl>
  </w:abstractNum>
  <w:abstractNum w:abstractNumId="165">
    <w:nsid w:val="710757D0"/>
    <w:multiLevelType w:val="hybridMultilevel"/>
    <w:lvl w:ilvl="0">
      <w:lvlJc w:val="left"/>
      <w:lvlText w:val="%1."/>
      <w:numFmt w:val="decimal"/>
      <w:start w:val="5"/>
    </w:lvl>
  </w:abstractNum>
  <w:abstractNum w:abstractNumId="166">
    <w:nsid w:val="5015CD1A"/>
    <w:multiLevelType w:val="hybridMultilevel"/>
    <w:lvl w:ilvl="0">
      <w:lvlJc w:val="left"/>
      <w:lvlText w:val="%1."/>
      <w:numFmt w:val="decimal"/>
      <w:start w:val="12"/>
    </w:lvl>
  </w:abstractNum>
  <w:abstractNum w:abstractNumId="167">
    <w:nsid w:val="424479DA"/>
    <w:multiLevelType w:val="hybridMultilevel"/>
    <w:lvl w:ilvl="0">
      <w:lvlJc w:val="left"/>
      <w:lvlText w:val="%1."/>
      <w:numFmt w:val="decimal"/>
      <w:start w:val="1"/>
    </w:lvl>
  </w:abstractNum>
  <w:abstractNum w:abstractNumId="168">
    <w:nsid w:val="1A9A9E69"/>
    <w:multiLevelType w:val="hybridMultilevel"/>
    <w:lvl w:ilvl="0">
      <w:lvlJc w:val="left"/>
      <w:lvlText w:val="%1."/>
      <w:numFmt w:val="decimal"/>
      <w:start w:val="1"/>
    </w:lvl>
  </w:abstractNum>
  <w:abstractNum w:abstractNumId="169">
    <w:nsid w:val="475E256A"/>
    <w:multiLevelType w:val="hybridMultilevel"/>
    <w:lvl w:ilvl="0">
      <w:lvlJc w:val="left"/>
      <w:lvlText w:val="%1."/>
      <w:numFmt w:val="decimal"/>
      <w:start w:val="1"/>
    </w:lvl>
  </w:abstractNum>
  <w:abstractNum w:abstractNumId="170">
    <w:nsid w:val="368DB37E"/>
    <w:multiLevelType w:val="hybridMultilevel"/>
    <w:lvl w:ilvl="0">
      <w:lvlJc w:val="left"/>
      <w:lvlText w:val="%1."/>
      <w:numFmt w:val="decimal"/>
      <w:start w:val="1"/>
    </w:lvl>
  </w:abstractNum>
  <w:abstractNum w:abstractNumId="171">
    <w:nsid w:val="6A3B714C"/>
    <w:multiLevelType w:val="hybridMultilevel"/>
    <w:lvl w:ilvl="0">
      <w:lvlJc w:val="left"/>
      <w:lvlText w:val="%1."/>
      <w:numFmt w:val="decimal"/>
      <w:start w:val="1"/>
    </w:lvl>
  </w:abstractNum>
  <w:abstractNum w:abstractNumId="172">
    <w:nsid w:val="327B517E"/>
    <w:multiLevelType w:val="hybridMultilevel"/>
    <w:lvl w:ilvl="0">
      <w:lvlJc w:val="left"/>
      <w:lvlText w:val="(%1)"/>
      <w:numFmt w:val="lowerLetter"/>
      <w:start w:val="1"/>
    </w:lvl>
  </w:abstractNum>
  <w:abstractNum w:abstractNumId="173">
    <w:nsid w:val="1F461B51"/>
    <w:multiLevelType w:val="hybridMultilevel"/>
    <w:lvl w:ilvl="0">
      <w:lvlJc w:val="left"/>
      <w:lvlText w:val="(%1)"/>
      <w:numFmt w:val="lowerLetter"/>
      <w:start w:val="11"/>
    </w:lvl>
  </w:abstractNum>
  <w:abstractNum w:abstractNumId="174">
    <w:nsid w:val="29BACF25"/>
    <w:multiLevelType w:val="hybridMultilevel"/>
    <w:lvl w:ilvl="0">
      <w:lvlJc w:val="left"/>
      <w:lvlText w:val="(%1)"/>
      <w:numFmt w:val="lowerLetter"/>
      <w:start w:val="1"/>
    </w:lvl>
  </w:abstractNum>
  <w:abstractNum w:abstractNumId="175">
    <w:nsid w:val="5D5BABB3"/>
    <w:multiLevelType w:val="hybridMultilevel"/>
    <w:lvl w:ilvl="0">
      <w:lvlJc w:val="left"/>
      <w:lvlText w:val="(%1)"/>
      <w:numFmt w:val="lowerLetter"/>
      <w:start w:val="1"/>
    </w:lvl>
  </w:abstractNum>
  <w:abstractNum w:abstractNumId="176">
    <w:nsid w:val="51BF6B48"/>
    <w:multiLevelType w:val="hybridMultilevel"/>
    <w:lvl w:ilvl="0">
      <w:lvlJc w:val="left"/>
      <w:lvlText w:val="%1."/>
      <w:numFmt w:val="decimal"/>
      <w:start w:val="1"/>
    </w:lvl>
  </w:abstractNum>
  <w:abstractNum w:abstractNumId="177">
    <w:nsid w:val="7E0F6384"/>
    <w:multiLevelType w:val="hybridMultilevel"/>
    <w:lvl w:ilvl="0">
      <w:lvlJc w:val="left"/>
      <w:lvlText w:val="(%1)"/>
      <w:numFmt w:val="lowerLetter"/>
      <w:start w:val="1"/>
    </w:lvl>
  </w:abstractNum>
  <w:abstractNum w:abstractNumId="178">
    <w:nsid w:val="2B4B8B53"/>
    <w:multiLevelType w:val="hybridMultilevel"/>
    <w:lvl w:ilvl="0">
      <w:lvlJc w:val="left"/>
      <w:lvlText w:val="(%1)"/>
      <w:numFmt w:val="lowerLetter"/>
      <w:start w:val="1"/>
    </w:lvl>
  </w:abstractNum>
  <w:abstractNum w:abstractNumId="179">
    <w:nsid w:val="72E3413A"/>
    <w:multiLevelType w:val="hybridMultilevel"/>
    <w:lvl w:ilvl="0">
      <w:lvlJc w:val="left"/>
      <w:lvlText w:val="(%1)"/>
      <w:numFmt w:val="lowerLetter"/>
      <w:start w:val="3"/>
    </w:lvl>
  </w:abstractNum>
  <w:abstractNum w:abstractNumId="180">
    <w:nsid w:val="116AE494"/>
    <w:multiLevelType w:val="hybridMultilevel"/>
    <w:lvl w:ilvl="0">
      <w:lvlJc w:val="left"/>
      <w:lvlText w:val="(%1)"/>
      <w:numFmt w:val="lowerLetter"/>
      <w:start w:val="1"/>
    </w:lvl>
  </w:abstractNum>
  <w:abstractNum w:abstractNumId="181">
    <w:nsid w:val="3494B2FB"/>
    <w:multiLevelType w:val="hybridMultilevel"/>
    <w:lvl w:ilvl="0">
      <w:lvlJc w:val="left"/>
      <w:lvlText w:val="(%1)"/>
      <w:numFmt w:val="lowerLetter"/>
      <w:start w:val="2"/>
    </w:lvl>
  </w:abstractNum>
  <w:abstractNum w:abstractNumId="182">
    <w:nsid w:val="B13A31"/>
    <w:multiLevelType w:val="hybridMultilevel"/>
    <w:lvl w:ilvl="0">
      <w:lvlJc w:val="left"/>
      <w:lvlText w:val="(%1)"/>
      <w:numFmt w:val="lowerLetter"/>
      <w:start w:val="3"/>
    </w:lvl>
  </w:abstractNum>
  <w:abstractNum w:abstractNumId="183">
    <w:nsid w:val="64429599"/>
    <w:multiLevelType w:val="hybridMultilevel"/>
    <w:lvl w:ilvl="0">
      <w:lvlJc w:val="left"/>
      <w:lvlText w:val="(%1)"/>
      <w:numFmt w:val="lowerLetter"/>
      <w:start w:val="1"/>
    </w:lvl>
  </w:abstractNum>
  <w:abstractNum w:abstractNumId="184">
    <w:nsid w:val="631F1690"/>
    <w:multiLevelType w:val="hybridMultilevel"/>
    <w:lvl w:ilvl="0">
      <w:lvlJc w:val="left"/>
      <w:lvlText w:val="(%1)"/>
      <w:numFmt w:val="lowerLetter"/>
      <w:start w:val="1"/>
    </w:lvl>
  </w:abstractNum>
  <w:abstractNum w:abstractNumId="185">
    <w:nsid w:val="25973E32"/>
    <w:multiLevelType w:val="hybridMultilevel"/>
    <w:lvl w:ilvl="0">
      <w:lvlJc w:val="left"/>
      <w:lvlText w:val="(%1)"/>
      <w:numFmt w:val="lowerLetter"/>
      <w:start w:val="2"/>
    </w:lvl>
  </w:abstractNum>
  <w:abstractNum w:abstractNumId="186">
    <w:nsid w:val="EAD6F57"/>
    <w:multiLevelType w:val="hybridMultilevel"/>
    <w:lvl w:ilvl="0">
      <w:lvlJc w:val="left"/>
      <w:lvlText w:val="(%1)"/>
      <w:numFmt w:val="lowerLetter"/>
      <w:start w:val="3"/>
    </w:lvl>
  </w:abstractNum>
  <w:abstractNum w:abstractNumId="187">
    <w:nsid w:val="6EC9D844"/>
    <w:multiLevelType w:val="hybridMultilevel"/>
    <w:lvl w:ilvl="0">
      <w:lvlJc w:val="left"/>
      <w:lvlText w:val="☒"/>
      <w:numFmt w:val="bullet"/>
      <w:start w:val="1"/>
    </w:lvl>
  </w:abstractNum>
  <w:abstractNum w:abstractNumId="188">
    <w:nsid w:val="5C49EAEE"/>
    <w:multiLevelType w:val="hybridMultilevel"/>
    <w:lvl w:ilvl="0">
      <w:lvlJc w:val="left"/>
      <w:lvlText w:val="%1."/>
      <w:numFmt w:val="decimal"/>
      <w:start w:val="1"/>
    </w:lvl>
    <w:lvl w:ilvl="1">
      <w:lvlJc w:val="left"/>
      <w:lvlText w:val="(%2)"/>
      <w:numFmt w:val="lowerLetter"/>
      <w:start w:val="1"/>
    </w:lvl>
  </w:abstractNum>
  <w:abstractNum w:abstractNumId="189">
    <w:nsid w:val="64AF49B"/>
    <w:multiLevelType w:val="hybridMultilevel"/>
    <w:lvl w:ilvl="0">
      <w:lvlJc w:val="left"/>
      <w:lvlText w:val="%1"/>
      <w:numFmt w:val="decimal"/>
      <w:start w:val="1"/>
    </w:lvl>
    <w:lvl w:ilvl="1">
      <w:lvlJc w:val="left"/>
      <w:lvlText w:val="(%2)"/>
      <w:numFmt w:val="lowerLetter"/>
      <w:start w:val="2"/>
    </w:lvl>
  </w:abstractNum>
  <w:abstractNum w:abstractNumId="190">
    <w:nsid w:val="397C46BC"/>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jpeg"/><Relationship Id="rId222" Type="http://schemas.openxmlformats.org/officeDocument/2006/relationships/image" Target="media/image208.jpe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85" Type="http://schemas.openxmlformats.org/officeDocument/2006/relationships/hyperlink" Target="http://www.sec.gov/ix?doc=/Archives/edgar/data/1722608/000156459020010259/iq-20f_20191231.htm" TargetMode="External"/><Relationship Id="rId86" Type="http://schemas.openxmlformats.org/officeDocument/2006/relationships/hyperlink" Target="http://www.sec.gov/ix?doc=/Archives/edgar/data/1722608/000119312520318102/d804785d6k.htm" TargetMode="External"/><Relationship Id="rId87" Type="http://schemas.openxmlformats.org/officeDocument/2006/relationships/hyperlink" Target="http://www.sec.gov/ix?doc=/Archives/edgar/data/1722608/000119312520318102/d804785dex991.htm" TargetMode="External"/><Relationship Id="rId88" Type="http://schemas.openxmlformats.org/officeDocument/2006/relationships/hyperlink" Target="http://www.sec.gov/Archives/edgar/data/1722608/000119312518085975/d503645d8a12b.htm" TargetMode="External"/><Relationship Id="rId93" Type="http://schemas.openxmlformats.org/officeDocument/2006/relationships/hyperlink" Target="http://www.sec.gov/Archives/edgar/data/0001722608/000119312518060890/d487167dex42.htm" TargetMode="External"/><Relationship Id="rId94" Type="http://schemas.openxmlformats.org/officeDocument/2006/relationships/hyperlink" Target="http://www.sec.gov/Archives/edgar/data/1722608/000119312518172855/d561961dex43.htm" TargetMode="External"/><Relationship Id="rId95" Type="http://schemas.openxmlformats.org/officeDocument/2006/relationships/hyperlink" Target="http://www.sec.gov/Archives/edgar/data/0001722608/000119312518060890/d48716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2020-12-15T15:49:03Z</dcterms:created>
  <dcterms:modified xsi:type="dcterms:W3CDTF">2020-12-15T15:49:03Z</dcterms:modified>
</cp:coreProperties>
</file>